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96D1D" w14:textId="27EE99AA" w:rsidR="001B4A95" w:rsidRPr="001612B0" w:rsidRDefault="001B4A95" w:rsidP="001612B0">
      <w:pPr>
        <w:pStyle w:val="Title"/>
      </w:pPr>
      <w:bookmarkStart w:id="0" w:name="_Hlk76981443"/>
      <w:bookmarkStart w:id="1" w:name="_Hlk60485646"/>
      <w:r w:rsidRPr="001612B0">
        <w:t xml:space="preserve">Association between age of </w:t>
      </w:r>
      <w:r w:rsidR="008F5F4C" w:rsidRPr="001612B0">
        <w:t>first exposure</w:t>
      </w:r>
      <w:r w:rsidRPr="001612B0">
        <w:t xml:space="preserve"> and heavy Internet use in a representative sample of 317 443 adolescents from 52 countries </w:t>
      </w:r>
    </w:p>
    <w:bookmarkEnd w:id="0"/>
    <w:p w14:paraId="49D23FE2" w14:textId="77777777" w:rsidR="00597BE1" w:rsidRDefault="00597BE1" w:rsidP="00597BE1">
      <w:pPr>
        <w:spacing w:line="360" w:lineRule="auto"/>
        <w:rPr>
          <w:sz w:val="28"/>
          <w:szCs w:val="28"/>
          <w:vertAlign w:val="superscript"/>
          <w:lang w:val="en-GB"/>
        </w:rPr>
      </w:pPr>
      <w:r w:rsidRPr="00763F36">
        <w:rPr>
          <w:sz w:val="28"/>
          <w:szCs w:val="28"/>
          <w:lang w:val="en-GB"/>
        </w:rPr>
        <w:t>Rubén López-Bueno,</w:t>
      </w:r>
      <w:r w:rsidRPr="00763F36">
        <w:rPr>
          <w:sz w:val="28"/>
          <w:szCs w:val="28"/>
          <w:vertAlign w:val="superscript"/>
          <w:lang w:val="en-GB"/>
        </w:rPr>
        <w:t>1</w:t>
      </w:r>
      <w:r w:rsidRPr="00763F36">
        <w:rPr>
          <w:sz w:val="28"/>
          <w:szCs w:val="28"/>
          <w:lang w:val="en-GB"/>
        </w:rPr>
        <w:t xml:space="preserve"> Ai Koyanagi,</w:t>
      </w:r>
      <w:r w:rsidRPr="00763F36">
        <w:rPr>
          <w:sz w:val="28"/>
          <w:szCs w:val="28"/>
          <w:vertAlign w:val="superscript"/>
          <w:lang w:val="en-GB"/>
        </w:rPr>
        <w:t>2</w:t>
      </w:r>
      <w:r w:rsidRPr="00763F36">
        <w:rPr>
          <w:sz w:val="28"/>
          <w:szCs w:val="28"/>
          <w:lang w:val="en-GB"/>
        </w:rPr>
        <w:t xml:space="preserve"> Guillermo Felipe López-Sánchez,</w:t>
      </w:r>
      <w:r w:rsidRPr="00763F36">
        <w:rPr>
          <w:sz w:val="28"/>
          <w:szCs w:val="28"/>
          <w:vertAlign w:val="superscript"/>
          <w:lang w:val="en-GB"/>
        </w:rPr>
        <w:t>3</w:t>
      </w:r>
      <w:r w:rsidRPr="00763F36">
        <w:rPr>
          <w:sz w:val="28"/>
          <w:szCs w:val="28"/>
          <w:lang w:val="en-GB"/>
        </w:rPr>
        <w:t xml:space="preserve"> Joseph Firth,</w:t>
      </w:r>
      <w:r w:rsidRPr="00763F36">
        <w:rPr>
          <w:sz w:val="28"/>
          <w:szCs w:val="28"/>
          <w:vertAlign w:val="superscript"/>
          <w:lang w:val="en-GB"/>
        </w:rPr>
        <w:t>4</w:t>
      </w:r>
      <w:r>
        <w:rPr>
          <w:sz w:val="28"/>
          <w:szCs w:val="28"/>
          <w:vertAlign w:val="superscript"/>
          <w:lang w:val="en-GB"/>
        </w:rPr>
        <w:t>,5</w:t>
      </w:r>
      <w:r w:rsidRPr="00763F36">
        <w:rPr>
          <w:sz w:val="28"/>
          <w:szCs w:val="28"/>
          <w:lang w:val="en-GB"/>
        </w:rPr>
        <w:t xml:space="preserve"> Lee Smith,</w:t>
      </w:r>
      <w:r>
        <w:rPr>
          <w:sz w:val="28"/>
          <w:szCs w:val="28"/>
          <w:vertAlign w:val="superscript"/>
          <w:lang w:val="en-GB"/>
        </w:rPr>
        <w:t>6</w:t>
      </w:r>
    </w:p>
    <w:p w14:paraId="21E9ADAD" w14:textId="77777777" w:rsidR="00597BE1" w:rsidRDefault="00597BE1" w:rsidP="00597BE1">
      <w:pPr>
        <w:spacing w:line="360" w:lineRule="auto"/>
        <w:rPr>
          <w:sz w:val="24"/>
          <w:szCs w:val="24"/>
          <w:lang w:val="en-GB"/>
        </w:rPr>
      </w:pPr>
      <w:bookmarkStart w:id="2" w:name="_Hlk63624956"/>
      <w:r w:rsidRPr="00A52A8E">
        <w:rPr>
          <w:sz w:val="24"/>
          <w:szCs w:val="24"/>
          <w:vertAlign w:val="superscript"/>
          <w:lang w:val="en-GB"/>
        </w:rPr>
        <w:t>1</w:t>
      </w:r>
      <w:r w:rsidRPr="00A52A8E">
        <w:rPr>
          <w:sz w:val="24"/>
          <w:szCs w:val="24"/>
          <w:lang w:val="en-GB"/>
        </w:rPr>
        <w:t xml:space="preserve">Department of </w:t>
      </w:r>
      <w:r>
        <w:rPr>
          <w:sz w:val="24"/>
          <w:szCs w:val="24"/>
          <w:lang w:val="en-GB"/>
        </w:rPr>
        <w:t>Physical Medicine and Nursing</w:t>
      </w:r>
      <w:r w:rsidRPr="00A52A8E">
        <w:rPr>
          <w:sz w:val="24"/>
          <w:szCs w:val="24"/>
          <w:lang w:val="en-GB"/>
        </w:rPr>
        <w:t xml:space="preserve">, </w:t>
      </w:r>
      <w:r>
        <w:rPr>
          <w:sz w:val="24"/>
          <w:szCs w:val="24"/>
          <w:lang w:val="en-GB"/>
        </w:rPr>
        <w:t>University of Zaragoza</w:t>
      </w:r>
      <w:r w:rsidRPr="00A52A8E">
        <w:rPr>
          <w:sz w:val="24"/>
          <w:szCs w:val="24"/>
          <w:lang w:val="en-GB"/>
        </w:rPr>
        <w:t xml:space="preserve">, </w:t>
      </w:r>
      <w:r>
        <w:rPr>
          <w:sz w:val="24"/>
          <w:szCs w:val="24"/>
          <w:lang w:val="en-GB"/>
        </w:rPr>
        <w:t>Zaragoza</w:t>
      </w:r>
      <w:r w:rsidRPr="00A52A8E">
        <w:rPr>
          <w:sz w:val="24"/>
          <w:szCs w:val="24"/>
          <w:lang w:val="en-GB"/>
        </w:rPr>
        <w:t>, S</w:t>
      </w:r>
      <w:r>
        <w:rPr>
          <w:sz w:val="24"/>
          <w:szCs w:val="24"/>
          <w:lang w:val="en-GB"/>
        </w:rPr>
        <w:t>pain</w:t>
      </w:r>
    </w:p>
    <w:bookmarkEnd w:id="2"/>
    <w:p w14:paraId="1CB880E5" w14:textId="77777777" w:rsidR="00597BE1" w:rsidRDefault="00597BE1" w:rsidP="00597BE1">
      <w:pPr>
        <w:spacing w:line="360" w:lineRule="auto"/>
        <w:rPr>
          <w:sz w:val="24"/>
          <w:szCs w:val="24"/>
          <w:lang w:val="en-GB"/>
        </w:rPr>
      </w:pPr>
      <w:r>
        <w:rPr>
          <w:sz w:val="24"/>
          <w:szCs w:val="24"/>
          <w:vertAlign w:val="superscript"/>
          <w:lang w:val="en-GB"/>
        </w:rPr>
        <w:t>2</w:t>
      </w:r>
      <w:r w:rsidRPr="00A52A8E">
        <w:rPr>
          <w:sz w:val="24"/>
          <w:szCs w:val="24"/>
          <w:lang w:val="en-GB"/>
        </w:rPr>
        <w:t xml:space="preserve">Research and Development Unit, Parc </w:t>
      </w:r>
      <w:proofErr w:type="spellStart"/>
      <w:r w:rsidRPr="00A52A8E">
        <w:rPr>
          <w:sz w:val="24"/>
          <w:szCs w:val="24"/>
          <w:lang w:val="en-GB"/>
        </w:rPr>
        <w:t>Sanitari</w:t>
      </w:r>
      <w:proofErr w:type="spellEnd"/>
      <w:r w:rsidRPr="00A52A8E">
        <w:rPr>
          <w:sz w:val="24"/>
          <w:szCs w:val="24"/>
          <w:lang w:val="en-GB"/>
        </w:rPr>
        <w:t xml:space="preserve"> Sant Joan de </w:t>
      </w:r>
      <w:proofErr w:type="spellStart"/>
      <w:r w:rsidRPr="00A52A8E">
        <w:rPr>
          <w:sz w:val="24"/>
          <w:szCs w:val="24"/>
          <w:lang w:val="en-GB"/>
        </w:rPr>
        <w:t>Déu</w:t>
      </w:r>
      <w:proofErr w:type="spellEnd"/>
      <w:r w:rsidRPr="00A52A8E">
        <w:rPr>
          <w:sz w:val="24"/>
          <w:szCs w:val="24"/>
          <w:lang w:val="en-GB"/>
        </w:rPr>
        <w:t>, CIBERSAM, ICREA,</w:t>
      </w:r>
      <w:r>
        <w:rPr>
          <w:sz w:val="24"/>
          <w:szCs w:val="24"/>
          <w:lang w:val="en-GB"/>
        </w:rPr>
        <w:t xml:space="preserve"> </w:t>
      </w:r>
      <w:r w:rsidRPr="00A52A8E">
        <w:rPr>
          <w:sz w:val="24"/>
          <w:szCs w:val="24"/>
          <w:lang w:val="en-GB"/>
        </w:rPr>
        <w:t>Barcelona, Spain</w:t>
      </w:r>
    </w:p>
    <w:p w14:paraId="6D3589C3" w14:textId="77777777" w:rsidR="00597BE1" w:rsidRDefault="00597BE1" w:rsidP="00597BE1">
      <w:pPr>
        <w:spacing w:line="360" w:lineRule="auto"/>
        <w:rPr>
          <w:sz w:val="24"/>
          <w:szCs w:val="24"/>
          <w:lang w:val="en-GB"/>
        </w:rPr>
      </w:pPr>
      <w:r>
        <w:rPr>
          <w:sz w:val="24"/>
          <w:szCs w:val="24"/>
          <w:vertAlign w:val="superscript"/>
          <w:lang w:val="en-GB"/>
        </w:rPr>
        <w:t>3</w:t>
      </w:r>
      <w:r w:rsidRPr="00A52A8E">
        <w:rPr>
          <w:sz w:val="24"/>
          <w:szCs w:val="24"/>
          <w:lang w:val="en-GB"/>
        </w:rPr>
        <w:t>Vision and Eye Research Institute, School of Medicine, Faculty of Health, Education, Medicine and Social Care, Anglia Ruskin University</w:t>
      </w:r>
      <w:r>
        <w:rPr>
          <w:sz w:val="24"/>
          <w:szCs w:val="24"/>
          <w:lang w:val="en-GB"/>
        </w:rPr>
        <w:t>,</w:t>
      </w:r>
      <w:r w:rsidRPr="00A52A8E">
        <w:rPr>
          <w:sz w:val="24"/>
          <w:szCs w:val="24"/>
          <w:lang w:val="en-GB"/>
        </w:rPr>
        <w:t xml:space="preserve"> Cambridge, UK</w:t>
      </w:r>
    </w:p>
    <w:p w14:paraId="39F2DD00" w14:textId="77777777" w:rsidR="00597BE1" w:rsidRDefault="00597BE1" w:rsidP="00597BE1">
      <w:pPr>
        <w:spacing w:line="360" w:lineRule="auto"/>
        <w:rPr>
          <w:sz w:val="24"/>
          <w:szCs w:val="24"/>
          <w:lang w:val="en-GB"/>
        </w:rPr>
      </w:pPr>
      <w:r>
        <w:rPr>
          <w:sz w:val="24"/>
          <w:szCs w:val="24"/>
          <w:vertAlign w:val="superscript"/>
          <w:lang w:val="en-GB"/>
        </w:rPr>
        <w:t>4</w:t>
      </w:r>
      <w:r w:rsidRPr="008076DF">
        <w:rPr>
          <w:sz w:val="24"/>
          <w:szCs w:val="24"/>
          <w:lang w:val="en-GB"/>
        </w:rPr>
        <w:t>Division of Psychology and Mental Health, Faculty of Biology, Medicine &amp; Health, University of Manchester, Manchester, UK</w:t>
      </w:r>
    </w:p>
    <w:p w14:paraId="351516DA" w14:textId="77777777" w:rsidR="00597BE1" w:rsidRDefault="00597BE1" w:rsidP="00597BE1">
      <w:pPr>
        <w:spacing w:line="360" w:lineRule="auto"/>
        <w:rPr>
          <w:sz w:val="24"/>
          <w:szCs w:val="24"/>
          <w:lang w:val="en-GB"/>
        </w:rPr>
      </w:pPr>
      <w:r w:rsidRPr="00C5087A">
        <w:rPr>
          <w:sz w:val="24"/>
          <w:szCs w:val="24"/>
          <w:vertAlign w:val="superscript"/>
          <w:lang w:val="en-GB"/>
        </w:rPr>
        <w:t>5</w:t>
      </w:r>
      <w:r w:rsidRPr="000B3EFE">
        <w:rPr>
          <w:sz w:val="24"/>
          <w:szCs w:val="24"/>
          <w:lang w:val="en-GB"/>
        </w:rPr>
        <w:t xml:space="preserve">NICM Health Research Institute, Western Sydney University, </w:t>
      </w:r>
      <w:proofErr w:type="spellStart"/>
      <w:r w:rsidRPr="000B3EFE">
        <w:rPr>
          <w:sz w:val="24"/>
          <w:szCs w:val="24"/>
          <w:lang w:val="en-GB"/>
        </w:rPr>
        <w:t>Westmead</w:t>
      </w:r>
      <w:proofErr w:type="spellEnd"/>
      <w:r w:rsidRPr="000B3EFE">
        <w:rPr>
          <w:sz w:val="24"/>
          <w:szCs w:val="24"/>
          <w:lang w:val="en-GB"/>
        </w:rPr>
        <w:t>, Australia</w:t>
      </w:r>
    </w:p>
    <w:p w14:paraId="051A7879" w14:textId="77777777" w:rsidR="00597BE1" w:rsidRPr="00A52A8E" w:rsidRDefault="00597BE1" w:rsidP="00597BE1">
      <w:pPr>
        <w:spacing w:line="360" w:lineRule="auto"/>
        <w:rPr>
          <w:sz w:val="24"/>
          <w:szCs w:val="24"/>
          <w:lang w:val="en-GB"/>
        </w:rPr>
      </w:pPr>
      <w:r>
        <w:rPr>
          <w:sz w:val="24"/>
          <w:szCs w:val="24"/>
          <w:vertAlign w:val="superscript"/>
          <w:lang w:val="en-GB"/>
        </w:rPr>
        <w:t>6</w:t>
      </w:r>
      <w:r w:rsidRPr="00A52A8E">
        <w:rPr>
          <w:sz w:val="24"/>
          <w:szCs w:val="24"/>
          <w:lang w:val="en-GB"/>
        </w:rPr>
        <w:t>The Cambridge Centre for Sport and Exercise Sciences, Anglia Ruskin University, Cambridg</w:t>
      </w:r>
      <w:r>
        <w:rPr>
          <w:sz w:val="24"/>
          <w:szCs w:val="24"/>
          <w:lang w:val="en-GB"/>
        </w:rPr>
        <w:t>e</w:t>
      </w:r>
      <w:r w:rsidRPr="00A52A8E">
        <w:rPr>
          <w:sz w:val="24"/>
          <w:szCs w:val="24"/>
          <w:lang w:val="en-GB"/>
        </w:rPr>
        <w:t>, UK</w:t>
      </w:r>
    </w:p>
    <w:p w14:paraId="638C742D" w14:textId="77777777" w:rsidR="00597BE1" w:rsidRDefault="00597BE1" w:rsidP="00597BE1">
      <w:pPr>
        <w:spacing w:line="360" w:lineRule="auto"/>
        <w:rPr>
          <w:sz w:val="24"/>
          <w:szCs w:val="24"/>
          <w:lang w:val="en-GB"/>
        </w:rPr>
      </w:pPr>
      <w:r w:rsidRPr="00A52A8E">
        <w:rPr>
          <w:b/>
          <w:bCs/>
          <w:sz w:val="24"/>
          <w:szCs w:val="24"/>
          <w:lang w:val="en-GB"/>
        </w:rPr>
        <w:t>Corresponding Author</w:t>
      </w:r>
      <w:r w:rsidRPr="00A52A8E">
        <w:rPr>
          <w:sz w:val="24"/>
          <w:szCs w:val="24"/>
          <w:lang w:val="en-GB"/>
        </w:rPr>
        <w:t xml:space="preserve"> Rubén López-Bueno, PhD, Department of Physical Medicine and Nursing, University of Zaragoza, 50009 Zaragoza, Spain (</w:t>
      </w:r>
      <w:hyperlink r:id="rId8" w:history="1">
        <w:r w:rsidRPr="00E42FFB">
          <w:rPr>
            <w:rStyle w:val="Hyperlink"/>
            <w:sz w:val="24"/>
            <w:szCs w:val="24"/>
            <w:lang w:val="en-GB"/>
          </w:rPr>
          <w:t>rlopezbu@unizar.es</w:t>
        </w:r>
      </w:hyperlink>
      <w:r w:rsidRPr="00A52A8E">
        <w:rPr>
          <w:sz w:val="24"/>
          <w:szCs w:val="24"/>
          <w:lang w:val="en-GB"/>
        </w:rPr>
        <w:t>)</w:t>
      </w:r>
    </w:p>
    <w:p w14:paraId="1E51C15C" w14:textId="77777777" w:rsidR="00597BE1" w:rsidRDefault="00597BE1" w:rsidP="00597BE1">
      <w:pPr>
        <w:spacing w:line="480" w:lineRule="auto"/>
        <w:rPr>
          <w:b/>
          <w:bCs/>
          <w:sz w:val="28"/>
          <w:szCs w:val="28"/>
          <w:lang w:val="en-GB"/>
        </w:rPr>
      </w:pPr>
    </w:p>
    <w:p w14:paraId="4173A630" w14:textId="77777777" w:rsidR="00597BE1" w:rsidRDefault="00597BE1" w:rsidP="00597BE1">
      <w:pPr>
        <w:spacing w:line="480" w:lineRule="auto"/>
        <w:rPr>
          <w:b/>
          <w:bCs/>
          <w:sz w:val="28"/>
          <w:szCs w:val="28"/>
          <w:lang w:val="en-GB"/>
        </w:rPr>
      </w:pPr>
    </w:p>
    <w:p w14:paraId="0CBB4905" w14:textId="77777777" w:rsidR="00597BE1" w:rsidRDefault="00597BE1" w:rsidP="00597BE1">
      <w:pPr>
        <w:spacing w:line="480" w:lineRule="auto"/>
        <w:rPr>
          <w:b/>
          <w:bCs/>
          <w:sz w:val="28"/>
          <w:szCs w:val="28"/>
          <w:lang w:val="en-GB"/>
        </w:rPr>
      </w:pPr>
    </w:p>
    <w:p w14:paraId="5927848A" w14:textId="77777777" w:rsidR="00597BE1" w:rsidRDefault="00597BE1" w:rsidP="00597BE1">
      <w:pPr>
        <w:spacing w:line="480" w:lineRule="auto"/>
        <w:rPr>
          <w:b/>
          <w:bCs/>
          <w:sz w:val="28"/>
          <w:szCs w:val="28"/>
          <w:lang w:val="en-GB"/>
        </w:rPr>
      </w:pPr>
    </w:p>
    <w:p w14:paraId="116A75FD" w14:textId="7168B653" w:rsidR="00597BE1" w:rsidRPr="001612B0" w:rsidRDefault="00597BE1" w:rsidP="001612B0">
      <w:pPr>
        <w:pStyle w:val="Heading1"/>
      </w:pPr>
      <w:r w:rsidRPr="001612B0">
        <w:lastRenderedPageBreak/>
        <w:t>Abstract</w:t>
      </w:r>
    </w:p>
    <w:p w14:paraId="3C3D3397" w14:textId="26D9E45E" w:rsidR="00597BE1" w:rsidRPr="00420FB2" w:rsidRDefault="00597BE1" w:rsidP="00597BE1">
      <w:pPr>
        <w:spacing w:line="480" w:lineRule="auto"/>
        <w:rPr>
          <w:b/>
          <w:bCs/>
          <w:sz w:val="24"/>
          <w:szCs w:val="24"/>
          <w:lang w:val="en-GB"/>
        </w:rPr>
      </w:pPr>
      <w:r w:rsidRPr="00EE503C">
        <w:rPr>
          <w:sz w:val="24"/>
          <w:szCs w:val="24"/>
          <w:lang w:val="en-GB"/>
        </w:rPr>
        <w:t xml:space="preserve">Internet usage among adolescents has increased substantially over the last years, concurrently with emerging concerns that an abusive use is associated with detrimental health outcomes. Our objective was to examine the association between age of </w:t>
      </w:r>
      <w:r w:rsidR="008F5F4C">
        <w:rPr>
          <w:sz w:val="24"/>
          <w:szCs w:val="24"/>
          <w:lang w:val="en-GB"/>
        </w:rPr>
        <w:t>first exposure</w:t>
      </w:r>
      <w:r w:rsidRPr="00EE503C">
        <w:rPr>
          <w:sz w:val="24"/>
          <w:szCs w:val="24"/>
          <w:lang w:val="en-GB"/>
        </w:rPr>
        <w:t xml:space="preserve"> and heavy Internet</w:t>
      </w:r>
      <w:r>
        <w:rPr>
          <w:sz w:val="24"/>
          <w:szCs w:val="24"/>
          <w:lang w:val="en-GB"/>
        </w:rPr>
        <w:t xml:space="preserve"> usage </w:t>
      </w:r>
      <w:r w:rsidRPr="00EE503C">
        <w:rPr>
          <w:sz w:val="24"/>
          <w:szCs w:val="24"/>
          <w:lang w:val="en-GB"/>
        </w:rPr>
        <w:t>in</w:t>
      </w:r>
      <w:r>
        <w:rPr>
          <w:sz w:val="24"/>
          <w:szCs w:val="24"/>
          <w:lang w:val="en-GB"/>
        </w:rPr>
        <w:t xml:space="preserve"> different domains. </w:t>
      </w:r>
      <w:r>
        <w:rPr>
          <w:bCs/>
          <w:sz w:val="24"/>
          <w:szCs w:val="24"/>
          <w:lang w:val="en-GB"/>
        </w:rPr>
        <w:t>D</w:t>
      </w:r>
      <w:r w:rsidRPr="00D9232D">
        <w:rPr>
          <w:sz w:val="24"/>
          <w:szCs w:val="24"/>
          <w:lang w:val="en-GB"/>
        </w:rPr>
        <w:t xml:space="preserve">ata from the 2018 </w:t>
      </w:r>
      <w:r>
        <w:rPr>
          <w:sz w:val="24"/>
          <w:szCs w:val="24"/>
          <w:lang w:val="en-GB"/>
        </w:rPr>
        <w:t>wave</w:t>
      </w:r>
      <w:r w:rsidRPr="00D9232D">
        <w:rPr>
          <w:sz w:val="24"/>
          <w:szCs w:val="24"/>
          <w:lang w:val="en-GB"/>
        </w:rPr>
        <w:t xml:space="preserve"> of the Programme for International Student Assessment</w:t>
      </w:r>
      <w:r>
        <w:rPr>
          <w:sz w:val="24"/>
          <w:szCs w:val="24"/>
          <w:lang w:val="en-GB"/>
        </w:rPr>
        <w:t xml:space="preserve"> (PISA) were retrieved. </w:t>
      </w:r>
      <w:r w:rsidRPr="00E34D37">
        <w:rPr>
          <w:bCs/>
          <w:sz w:val="24"/>
          <w:szCs w:val="24"/>
          <w:lang w:val="en-GB"/>
        </w:rPr>
        <w:t>Th</w:t>
      </w:r>
      <w:r>
        <w:rPr>
          <w:bCs/>
          <w:sz w:val="24"/>
          <w:szCs w:val="24"/>
          <w:lang w:val="en-GB"/>
        </w:rPr>
        <w:t>is included a</w:t>
      </w:r>
      <w:r>
        <w:rPr>
          <w:sz w:val="24"/>
          <w:szCs w:val="24"/>
          <w:lang w:val="en-GB"/>
        </w:rPr>
        <w:t xml:space="preserve"> total of </w:t>
      </w:r>
      <w:r w:rsidRPr="00D9232D">
        <w:rPr>
          <w:sz w:val="24"/>
          <w:szCs w:val="24"/>
          <w:lang w:val="en-GB"/>
        </w:rPr>
        <w:t>317 443 participants (49.2% boys) aged 15 and 16 years</w:t>
      </w:r>
      <w:r>
        <w:rPr>
          <w:sz w:val="24"/>
          <w:szCs w:val="24"/>
          <w:lang w:val="en-GB"/>
        </w:rPr>
        <w:t xml:space="preserve"> from 52 countries. </w:t>
      </w:r>
      <w:r w:rsidRPr="00D9232D">
        <w:rPr>
          <w:sz w:val="24"/>
          <w:szCs w:val="24"/>
          <w:lang w:val="en-GB"/>
        </w:rPr>
        <w:t xml:space="preserve">Data from </w:t>
      </w:r>
      <w:r>
        <w:rPr>
          <w:sz w:val="24"/>
          <w:szCs w:val="24"/>
          <w:lang w:val="en-GB"/>
        </w:rPr>
        <w:t>both Internet</w:t>
      </w:r>
      <w:r w:rsidRPr="00D9232D">
        <w:rPr>
          <w:sz w:val="24"/>
          <w:szCs w:val="24"/>
          <w:lang w:val="en-GB"/>
        </w:rPr>
        <w:t xml:space="preserve"> </w:t>
      </w:r>
      <w:r>
        <w:rPr>
          <w:sz w:val="24"/>
          <w:szCs w:val="24"/>
          <w:lang w:val="en-GB"/>
        </w:rPr>
        <w:t>use</w:t>
      </w:r>
      <w:r w:rsidRPr="00D9232D">
        <w:rPr>
          <w:sz w:val="24"/>
          <w:szCs w:val="24"/>
          <w:lang w:val="en-GB"/>
        </w:rPr>
        <w:t xml:space="preserve"> and </w:t>
      </w:r>
      <w:r>
        <w:rPr>
          <w:sz w:val="24"/>
          <w:szCs w:val="24"/>
          <w:lang w:val="en-GB"/>
        </w:rPr>
        <w:t xml:space="preserve">age of </w:t>
      </w:r>
      <w:r w:rsidR="008F5F4C">
        <w:rPr>
          <w:sz w:val="24"/>
          <w:szCs w:val="24"/>
          <w:lang w:val="en-GB"/>
        </w:rPr>
        <w:t>fi</w:t>
      </w:r>
      <w:r w:rsidR="00CF34F4">
        <w:rPr>
          <w:sz w:val="24"/>
          <w:szCs w:val="24"/>
          <w:lang w:val="en-GB"/>
        </w:rPr>
        <w:t>r</w:t>
      </w:r>
      <w:r w:rsidR="008F5F4C">
        <w:rPr>
          <w:sz w:val="24"/>
          <w:szCs w:val="24"/>
          <w:lang w:val="en-GB"/>
        </w:rPr>
        <w:t>st exposure</w:t>
      </w:r>
      <w:r>
        <w:rPr>
          <w:sz w:val="24"/>
          <w:szCs w:val="24"/>
          <w:lang w:val="en-GB"/>
        </w:rPr>
        <w:t xml:space="preserve"> </w:t>
      </w:r>
      <w:r w:rsidRPr="00D9232D">
        <w:rPr>
          <w:sz w:val="24"/>
          <w:szCs w:val="24"/>
          <w:lang w:val="en-GB"/>
        </w:rPr>
        <w:t>were retrieved</w:t>
      </w:r>
      <w:r>
        <w:rPr>
          <w:sz w:val="24"/>
          <w:szCs w:val="24"/>
          <w:lang w:val="en-GB"/>
        </w:rPr>
        <w:t xml:space="preserve"> and used to conduct metanalyses with random effects. </w:t>
      </w:r>
      <w:r w:rsidRPr="00D9232D">
        <w:rPr>
          <w:sz w:val="24"/>
          <w:szCs w:val="24"/>
          <w:lang w:val="en-GB"/>
        </w:rPr>
        <w:t xml:space="preserve">Adolescents reporting an age of </w:t>
      </w:r>
      <w:r w:rsidR="008F5F4C">
        <w:rPr>
          <w:sz w:val="24"/>
          <w:szCs w:val="24"/>
          <w:lang w:val="en-GB"/>
        </w:rPr>
        <w:t>first exposure</w:t>
      </w:r>
      <w:r w:rsidR="008F5F4C" w:rsidRPr="00D9232D">
        <w:rPr>
          <w:sz w:val="24"/>
          <w:szCs w:val="24"/>
          <w:lang w:val="en-GB"/>
        </w:rPr>
        <w:t xml:space="preserve"> </w:t>
      </w:r>
      <w:r>
        <w:rPr>
          <w:sz w:val="24"/>
          <w:szCs w:val="24"/>
          <w:lang w:val="en-GB"/>
        </w:rPr>
        <w:t>of Internet</w:t>
      </w:r>
      <w:r w:rsidRPr="00D9232D">
        <w:rPr>
          <w:sz w:val="24"/>
          <w:szCs w:val="24"/>
          <w:lang w:val="en-GB"/>
        </w:rPr>
        <w:t xml:space="preserve"> </w:t>
      </w:r>
      <w:r>
        <w:rPr>
          <w:sz w:val="24"/>
          <w:szCs w:val="24"/>
          <w:lang w:val="en-GB"/>
        </w:rPr>
        <w:t xml:space="preserve">usage </w:t>
      </w:r>
      <w:r w:rsidRPr="00D9232D">
        <w:rPr>
          <w:sz w:val="24"/>
          <w:szCs w:val="24"/>
          <w:lang w:val="en-GB"/>
        </w:rPr>
        <w:t xml:space="preserve">at </w:t>
      </w:r>
      <w:r>
        <w:rPr>
          <w:rFonts w:cstheme="minorHAnsi"/>
          <w:sz w:val="24"/>
          <w:szCs w:val="24"/>
          <w:lang w:val="en-GB"/>
        </w:rPr>
        <w:t>≥</w:t>
      </w:r>
      <w:r>
        <w:rPr>
          <w:sz w:val="24"/>
          <w:szCs w:val="24"/>
          <w:lang w:val="en-GB"/>
        </w:rPr>
        <w:t xml:space="preserve"> </w:t>
      </w:r>
      <w:r w:rsidRPr="00D9232D">
        <w:rPr>
          <w:sz w:val="24"/>
          <w:szCs w:val="24"/>
          <w:lang w:val="en-GB"/>
        </w:rPr>
        <w:t xml:space="preserve">13 years old had the lowest odds for heavy </w:t>
      </w:r>
      <w:r>
        <w:rPr>
          <w:sz w:val="24"/>
          <w:szCs w:val="24"/>
          <w:lang w:val="en-GB"/>
        </w:rPr>
        <w:t>Internet</w:t>
      </w:r>
      <w:r w:rsidRPr="00D9232D">
        <w:rPr>
          <w:sz w:val="24"/>
          <w:szCs w:val="24"/>
          <w:lang w:val="en-GB"/>
        </w:rPr>
        <w:t xml:space="preserve"> </w:t>
      </w:r>
      <w:r>
        <w:rPr>
          <w:sz w:val="24"/>
          <w:szCs w:val="24"/>
          <w:lang w:val="en-GB"/>
        </w:rPr>
        <w:t xml:space="preserve">use </w:t>
      </w:r>
      <w:r w:rsidRPr="00D9232D">
        <w:rPr>
          <w:sz w:val="24"/>
          <w:szCs w:val="24"/>
          <w:lang w:val="en-GB"/>
        </w:rPr>
        <w:t xml:space="preserve">(&gt; 2 h/d) </w:t>
      </w:r>
      <w:r>
        <w:rPr>
          <w:sz w:val="24"/>
          <w:szCs w:val="24"/>
          <w:lang w:val="en-GB"/>
        </w:rPr>
        <w:t xml:space="preserve">(reference group: </w:t>
      </w:r>
      <w:r>
        <w:rPr>
          <w:rFonts w:cstheme="minorHAnsi"/>
          <w:sz w:val="24"/>
          <w:szCs w:val="24"/>
          <w:lang w:val="en-GB"/>
        </w:rPr>
        <w:t>≤</w:t>
      </w:r>
      <w:r>
        <w:rPr>
          <w:sz w:val="24"/>
          <w:szCs w:val="24"/>
          <w:lang w:val="en-GB"/>
        </w:rPr>
        <w:t xml:space="preserve"> 9 y) </w:t>
      </w:r>
      <w:r w:rsidRPr="00D9232D">
        <w:rPr>
          <w:sz w:val="24"/>
          <w:szCs w:val="24"/>
          <w:lang w:val="en-GB"/>
        </w:rPr>
        <w:t xml:space="preserve">during weekends (odds ratio, 0.41 [95% CI, 0.35-0.48]), weekdays (odds ratio, 0.45 [95% CI, 0.37-0.56]), and during school time (odds ratio (odds ratio, 0.86 [95% CI, 0.77-0.96]) even when adjusted for sex, </w:t>
      </w:r>
      <w:r>
        <w:rPr>
          <w:sz w:val="24"/>
          <w:szCs w:val="24"/>
          <w:lang w:val="en-GB"/>
        </w:rPr>
        <w:t>socioeconomic status</w:t>
      </w:r>
      <w:r w:rsidRPr="00D9232D">
        <w:rPr>
          <w:sz w:val="24"/>
          <w:szCs w:val="24"/>
          <w:lang w:val="en-GB"/>
        </w:rPr>
        <w:t xml:space="preserve">, and country. A </w:t>
      </w:r>
      <w:r>
        <w:rPr>
          <w:sz w:val="24"/>
          <w:szCs w:val="24"/>
          <w:lang w:val="en-GB"/>
        </w:rPr>
        <w:t xml:space="preserve">stronger </w:t>
      </w:r>
      <w:r w:rsidRPr="00D9232D">
        <w:rPr>
          <w:sz w:val="24"/>
          <w:szCs w:val="24"/>
          <w:lang w:val="en-GB"/>
        </w:rPr>
        <w:t xml:space="preserve">association was observed in adolescents from </w:t>
      </w:r>
      <w:r>
        <w:rPr>
          <w:sz w:val="24"/>
          <w:szCs w:val="24"/>
          <w:lang w:val="en-GB"/>
        </w:rPr>
        <w:t xml:space="preserve">South and Central </w:t>
      </w:r>
      <w:r w:rsidRPr="00D9232D">
        <w:rPr>
          <w:sz w:val="24"/>
          <w:szCs w:val="24"/>
          <w:lang w:val="en-GB"/>
        </w:rPr>
        <w:t>America and Eastern Mediterranean regions in the domain of weekends and weekdays. The results indicate tha</w:t>
      </w:r>
      <w:r>
        <w:rPr>
          <w:sz w:val="24"/>
          <w:szCs w:val="24"/>
          <w:lang w:val="en-GB"/>
        </w:rPr>
        <w:t>t</w:t>
      </w:r>
      <w:r w:rsidRPr="00D9232D">
        <w:rPr>
          <w:sz w:val="24"/>
          <w:szCs w:val="24"/>
          <w:lang w:val="en-GB"/>
        </w:rPr>
        <w:t xml:space="preserve"> early </w:t>
      </w:r>
      <w:r>
        <w:rPr>
          <w:sz w:val="24"/>
          <w:szCs w:val="24"/>
          <w:lang w:val="en-GB"/>
        </w:rPr>
        <w:t xml:space="preserve">internet </w:t>
      </w:r>
      <w:r w:rsidR="00EB699E">
        <w:rPr>
          <w:sz w:val="24"/>
          <w:szCs w:val="24"/>
          <w:lang w:val="en-GB"/>
        </w:rPr>
        <w:t>exposure</w:t>
      </w:r>
      <w:r w:rsidRPr="00D9232D">
        <w:rPr>
          <w:sz w:val="24"/>
          <w:szCs w:val="24"/>
          <w:lang w:val="en-GB"/>
        </w:rPr>
        <w:t xml:space="preserve"> is associated with heavy </w:t>
      </w:r>
      <w:r>
        <w:rPr>
          <w:sz w:val="24"/>
          <w:szCs w:val="24"/>
          <w:lang w:val="en-GB"/>
        </w:rPr>
        <w:t xml:space="preserve">Internet </w:t>
      </w:r>
      <w:r w:rsidRPr="00D9232D">
        <w:rPr>
          <w:sz w:val="24"/>
          <w:szCs w:val="24"/>
          <w:lang w:val="en-GB"/>
        </w:rPr>
        <w:t xml:space="preserve">use, particularly during weekends and weekdays, regardless the geographical region, in a </w:t>
      </w:r>
      <w:r>
        <w:rPr>
          <w:sz w:val="24"/>
          <w:szCs w:val="24"/>
          <w:lang w:val="en-GB"/>
        </w:rPr>
        <w:t>linear</w:t>
      </w:r>
      <w:r w:rsidRPr="00D9232D">
        <w:rPr>
          <w:sz w:val="24"/>
          <w:szCs w:val="24"/>
          <w:lang w:val="en-GB"/>
        </w:rPr>
        <w:t xml:space="preserve"> fashion. </w:t>
      </w:r>
      <w:r>
        <w:rPr>
          <w:sz w:val="24"/>
          <w:szCs w:val="24"/>
          <w:lang w:val="en-GB"/>
        </w:rPr>
        <w:t xml:space="preserve">Further research should aim to examine if </w:t>
      </w:r>
      <w:r w:rsidRPr="00D9232D">
        <w:rPr>
          <w:sz w:val="24"/>
          <w:szCs w:val="24"/>
          <w:lang w:val="en-GB"/>
        </w:rPr>
        <w:t xml:space="preserve">better education and parental control in specific areas </w:t>
      </w:r>
      <w:r>
        <w:rPr>
          <w:sz w:val="24"/>
          <w:szCs w:val="24"/>
          <w:lang w:val="en-GB"/>
        </w:rPr>
        <w:t xml:space="preserve">may </w:t>
      </w:r>
      <w:r w:rsidRPr="00D9232D">
        <w:rPr>
          <w:sz w:val="24"/>
          <w:szCs w:val="24"/>
          <w:lang w:val="en-GB"/>
        </w:rPr>
        <w:t xml:space="preserve">avoid </w:t>
      </w:r>
      <w:r>
        <w:rPr>
          <w:sz w:val="24"/>
          <w:szCs w:val="24"/>
          <w:lang w:val="en-GB"/>
        </w:rPr>
        <w:t>excessive Internet</w:t>
      </w:r>
      <w:r w:rsidRPr="00D9232D">
        <w:rPr>
          <w:sz w:val="24"/>
          <w:szCs w:val="24"/>
          <w:lang w:val="en-GB"/>
        </w:rPr>
        <w:t xml:space="preserve"> </w:t>
      </w:r>
      <w:r>
        <w:rPr>
          <w:sz w:val="24"/>
          <w:szCs w:val="24"/>
          <w:lang w:val="en-GB"/>
        </w:rPr>
        <w:t xml:space="preserve">use that possibly have a negative influence on both </w:t>
      </w:r>
      <w:r w:rsidRPr="00D9232D">
        <w:rPr>
          <w:sz w:val="24"/>
          <w:szCs w:val="24"/>
          <w:lang w:val="en-GB"/>
        </w:rPr>
        <w:t xml:space="preserve">mental and physical health. </w:t>
      </w:r>
    </w:p>
    <w:p w14:paraId="3E843818" w14:textId="77777777" w:rsidR="00597BE1" w:rsidRDefault="00597BE1" w:rsidP="00597BE1">
      <w:pPr>
        <w:spacing w:line="480" w:lineRule="auto"/>
        <w:rPr>
          <w:b/>
          <w:bCs/>
          <w:sz w:val="24"/>
          <w:szCs w:val="24"/>
          <w:lang w:val="en-GB"/>
        </w:rPr>
      </w:pPr>
      <w:r w:rsidRPr="001A6F81">
        <w:rPr>
          <w:b/>
          <w:bCs/>
          <w:sz w:val="28"/>
          <w:szCs w:val="28"/>
          <w:lang w:val="en-GB"/>
        </w:rPr>
        <w:t>Keywords:</w:t>
      </w:r>
      <w:r>
        <w:rPr>
          <w:b/>
          <w:bCs/>
          <w:sz w:val="24"/>
          <w:szCs w:val="24"/>
          <w:lang w:val="en-GB"/>
        </w:rPr>
        <w:t xml:space="preserve"> </w:t>
      </w:r>
      <w:proofErr w:type="gramStart"/>
      <w:r w:rsidRPr="000B6FD6">
        <w:rPr>
          <w:sz w:val="24"/>
          <w:szCs w:val="24"/>
          <w:lang w:val="en-GB"/>
        </w:rPr>
        <w:t>Social media</w:t>
      </w:r>
      <w:proofErr w:type="gramEnd"/>
      <w:r w:rsidRPr="000B6FD6">
        <w:rPr>
          <w:sz w:val="24"/>
          <w:szCs w:val="24"/>
          <w:lang w:val="en-GB"/>
        </w:rPr>
        <w:t>; Videogames; Addictions; Mental health; Health habits</w:t>
      </w:r>
      <w:r>
        <w:rPr>
          <w:b/>
          <w:bCs/>
          <w:sz w:val="24"/>
          <w:szCs w:val="24"/>
          <w:lang w:val="en-GB"/>
        </w:rPr>
        <w:t xml:space="preserve"> </w:t>
      </w:r>
    </w:p>
    <w:p w14:paraId="18D951A6" w14:textId="77777777" w:rsidR="00597BE1" w:rsidRDefault="00597BE1" w:rsidP="00597BE1">
      <w:pPr>
        <w:spacing w:line="480" w:lineRule="auto"/>
        <w:rPr>
          <w:b/>
          <w:bCs/>
          <w:sz w:val="28"/>
          <w:szCs w:val="28"/>
          <w:lang w:val="en-GB"/>
        </w:rPr>
      </w:pPr>
    </w:p>
    <w:p w14:paraId="7F2207F2" w14:textId="5C147BAC" w:rsidR="00597BE1" w:rsidRPr="00597BE1" w:rsidRDefault="00597BE1" w:rsidP="001612B0">
      <w:pPr>
        <w:pStyle w:val="Heading1"/>
        <w:rPr>
          <w:sz w:val="24"/>
          <w:szCs w:val="24"/>
        </w:rPr>
      </w:pPr>
      <w:r w:rsidRPr="000A38A5">
        <w:lastRenderedPageBreak/>
        <w:t>Declarations</w:t>
      </w:r>
    </w:p>
    <w:p w14:paraId="5797C12E" w14:textId="77777777" w:rsidR="00597BE1" w:rsidRDefault="00597BE1" w:rsidP="00597BE1">
      <w:pPr>
        <w:spacing w:line="360" w:lineRule="auto"/>
        <w:rPr>
          <w:b/>
          <w:bCs/>
          <w:sz w:val="24"/>
          <w:szCs w:val="24"/>
          <w:lang w:val="en-GB"/>
        </w:rPr>
      </w:pPr>
      <w:r w:rsidRPr="004B63BB">
        <w:rPr>
          <w:b/>
          <w:bCs/>
          <w:sz w:val="24"/>
          <w:szCs w:val="24"/>
          <w:lang w:val="en-GB"/>
        </w:rPr>
        <w:t>Conflicts of interest</w:t>
      </w:r>
      <w:r>
        <w:rPr>
          <w:b/>
          <w:bCs/>
          <w:sz w:val="24"/>
          <w:szCs w:val="24"/>
          <w:lang w:val="en-GB"/>
        </w:rPr>
        <w:t xml:space="preserve"> </w:t>
      </w:r>
    </w:p>
    <w:p w14:paraId="73DADBB2" w14:textId="77777777" w:rsidR="00597BE1" w:rsidRDefault="00597BE1" w:rsidP="00597BE1">
      <w:pPr>
        <w:spacing w:line="360" w:lineRule="auto"/>
        <w:rPr>
          <w:sz w:val="24"/>
          <w:szCs w:val="24"/>
          <w:lang w:val="en-GB"/>
        </w:rPr>
      </w:pPr>
      <w:r w:rsidRPr="004B63BB">
        <w:rPr>
          <w:sz w:val="24"/>
          <w:szCs w:val="24"/>
          <w:lang w:val="en-GB"/>
        </w:rPr>
        <w:t>The authors declare that they have no conflict of interest.</w:t>
      </w:r>
    </w:p>
    <w:p w14:paraId="2E2B41A3" w14:textId="77777777" w:rsidR="00597BE1" w:rsidRDefault="00597BE1" w:rsidP="00597BE1">
      <w:pPr>
        <w:spacing w:line="360" w:lineRule="auto"/>
        <w:rPr>
          <w:sz w:val="24"/>
          <w:szCs w:val="24"/>
          <w:lang w:val="en-GB"/>
        </w:rPr>
      </w:pPr>
      <w:r w:rsidRPr="004B63BB">
        <w:rPr>
          <w:b/>
          <w:bCs/>
          <w:sz w:val="24"/>
          <w:szCs w:val="24"/>
          <w:lang w:val="en-GB"/>
        </w:rPr>
        <w:t>Availability of data and material</w:t>
      </w:r>
      <w:r w:rsidRPr="004B63BB">
        <w:rPr>
          <w:sz w:val="24"/>
          <w:szCs w:val="24"/>
          <w:lang w:val="en-GB"/>
        </w:rPr>
        <w:t> </w:t>
      </w:r>
    </w:p>
    <w:p w14:paraId="4C81DB5D" w14:textId="7A745901" w:rsidR="00597BE1" w:rsidRPr="004B63BB" w:rsidRDefault="00597BE1" w:rsidP="00597BE1">
      <w:pPr>
        <w:spacing w:line="360" w:lineRule="auto"/>
        <w:rPr>
          <w:sz w:val="24"/>
          <w:szCs w:val="24"/>
          <w:lang w:val="en-GB"/>
        </w:rPr>
      </w:pPr>
      <w:bookmarkStart w:id="3" w:name="_Hlk76983124"/>
      <w:r>
        <w:rPr>
          <w:sz w:val="24"/>
          <w:szCs w:val="24"/>
          <w:lang w:val="en-GB"/>
        </w:rPr>
        <w:t xml:space="preserve">The </w:t>
      </w:r>
      <w:r w:rsidR="00A71E83">
        <w:rPr>
          <w:sz w:val="24"/>
          <w:szCs w:val="24"/>
          <w:lang w:val="en-GB"/>
        </w:rPr>
        <w:t xml:space="preserve">technical report and the 2018 PISA </w:t>
      </w:r>
      <w:r>
        <w:rPr>
          <w:sz w:val="24"/>
          <w:szCs w:val="24"/>
          <w:lang w:val="en-GB"/>
        </w:rPr>
        <w:t>data</w:t>
      </w:r>
      <w:r w:rsidR="00A71E83">
        <w:rPr>
          <w:sz w:val="24"/>
          <w:szCs w:val="24"/>
          <w:lang w:val="en-GB"/>
        </w:rPr>
        <w:t>set used in this study</w:t>
      </w:r>
      <w:r w:rsidR="00CF34F4">
        <w:rPr>
          <w:sz w:val="24"/>
          <w:szCs w:val="24"/>
          <w:lang w:val="en-GB"/>
        </w:rPr>
        <w:t xml:space="preserve"> </w:t>
      </w:r>
      <w:r w:rsidR="00A71E83">
        <w:rPr>
          <w:sz w:val="24"/>
          <w:szCs w:val="24"/>
          <w:lang w:val="en-GB"/>
        </w:rPr>
        <w:t>are</w:t>
      </w:r>
      <w:r>
        <w:rPr>
          <w:sz w:val="24"/>
          <w:szCs w:val="24"/>
          <w:lang w:val="en-GB"/>
        </w:rPr>
        <w:t xml:space="preserve"> publicly available at </w:t>
      </w:r>
      <w:r w:rsidR="00A71E83" w:rsidRPr="00A71E83">
        <w:rPr>
          <w:sz w:val="24"/>
          <w:szCs w:val="24"/>
          <w:lang w:val="en-GB"/>
        </w:rPr>
        <w:t>https://www.oecd.org/pisa/data/</w:t>
      </w:r>
      <w:bookmarkEnd w:id="3"/>
    </w:p>
    <w:p w14:paraId="2CC94DC3" w14:textId="77777777" w:rsidR="00597BE1" w:rsidRDefault="00597BE1" w:rsidP="00597BE1">
      <w:pPr>
        <w:spacing w:line="360" w:lineRule="auto"/>
        <w:rPr>
          <w:b/>
          <w:bCs/>
          <w:sz w:val="24"/>
          <w:szCs w:val="24"/>
          <w:lang w:val="en-GB"/>
        </w:rPr>
      </w:pPr>
      <w:r w:rsidRPr="00B7741B">
        <w:rPr>
          <w:b/>
          <w:bCs/>
          <w:sz w:val="24"/>
          <w:szCs w:val="24"/>
          <w:lang w:val="en-GB"/>
        </w:rPr>
        <w:t xml:space="preserve">Funding </w:t>
      </w:r>
    </w:p>
    <w:p w14:paraId="41B8F68D" w14:textId="77777777" w:rsidR="00597BE1" w:rsidRPr="00B7741B" w:rsidRDefault="00597BE1" w:rsidP="00597BE1">
      <w:pPr>
        <w:spacing w:line="360" w:lineRule="auto"/>
        <w:rPr>
          <w:b/>
          <w:bCs/>
          <w:sz w:val="24"/>
          <w:szCs w:val="24"/>
          <w:lang w:val="en-GB"/>
        </w:rPr>
      </w:pPr>
      <w:r>
        <w:rPr>
          <w:sz w:val="24"/>
          <w:szCs w:val="24"/>
          <w:lang w:val="en-GB"/>
        </w:rPr>
        <w:t xml:space="preserve">None. </w:t>
      </w:r>
    </w:p>
    <w:p w14:paraId="6FD7485A" w14:textId="77777777" w:rsidR="00597BE1" w:rsidRDefault="00597BE1" w:rsidP="00597BE1">
      <w:pPr>
        <w:spacing w:line="360" w:lineRule="auto"/>
        <w:rPr>
          <w:b/>
          <w:bCs/>
          <w:sz w:val="24"/>
          <w:szCs w:val="24"/>
          <w:lang w:val="en-GB"/>
        </w:rPr>
      </w:pPr>
      <w:r w:rsidRPr="004B63BB">
        <w:rPr>
          <w:b/>
          <w:bCs/>
          <w:sz w:val="24"/>
          <w:szCs w:val="24"/>
          <w:lang w:val="en-GB"/>
        </w:rPr>
        <w:t>Authors' contributions</w:t>
      </w:r>
      <w:r>
        <w:rPr>
          <w:b/>
          <w:bCs/>
          <w:sz w:val="24"/>
          <w:szCs w:val="24"/>
          <w:lang w:val="en-GB"/>
        </w:rPr>
        <w:t xml:space="preserve"> </w:t>
      </w:r>
    </w:p>
    <w:p w14:paraId="30FF8953" w14:textId="0C04E850" w:rsidR="00597BE1" w:rsidRDefault="00597BE1" w:rsidP="00597BE1">
      <w:pPr>
        <w:spacing w:line="360" w:lineRule="auto"/>
        <w:rPr>
          <w:sz w:val="24"/>
          <w:szCs w:val="24"/>
          <w:lang w:val="en-GB"/>
        </w:rPr>
      </w:pPr>
      <w:r>
        <w:rPr>
          <w:sz w:val="24"/>
          <w:szCs w:val="24"/>
          <w:lang w:val="en-GB"/>
        </w:rPr>
        <w:t>Rubén López-Bueno</w:t>
      </w:r>
      <w:r w:rsidRPr="00282B86">
        <w:rPr>
          <w:sz w:val="24"/>
          <w:szCs w:val="24"/>
          <w:lang w:val="en-GB"/>
        </w:rPr>
        <w:t>: Conceptualization, Software</w:t>
      </w:r>
      <w:r>
        <w:rPr>
          <w:sz w:val="24"/>
          <w:szCs w:val="24"/>
          <w:lang w:val="en-GB"/>
        </w:rPr>
        <w:t xml:space="preserve">, </w:t>
      </w:r>
      <w:r w:rsidRPr="00282B86">
        <w:rPr>
          <w:sz w:val="24"/>
          <w:szCs w:val="24"/>
          <w:lang w:val="en-GB"/>
        </w:rPr>
        <w:t xml:space="preserve">Data curation, Writing- Original draft preparation. </w:t>
      </w:r>
      <w:r>
        <w:rPr>
          <w:sz w:val="24"/>
          <w:szCs w:val="24"/>
          <w:lang w:val="en-GB"/>
        </w:rPr>
        <w:t>Lee Smith</w:t>
      </w:r>
      <w:r w:rsidRPr="00282B86">
        <w:rPr>
          <w:sz w:val="24"/>
          <w:szCs w:val="24"/>
          <w:lang w:val="en-GB"/>
        </w:rPr>
        <w:t xml:space="preserve">: </w:t>
      </w:r>
      <w:r>
        <w:rPr>
          <w:sz w:val="24"/>
          <w:szCs w:val="24"/>
          <w:lang w:val="en-GB"/>
        </w:rPr>
        <w:t>Methodology</w:t>
      </w:r>
      <w:r w:rsidRPr="00282B86">
        <w:rPr>
          <w:sz w:val="24"/>
          <w:szCs w:val="24"/>
          <w:lang w:val="en-GB"/>
        </w:rPr>
        <w:t>, Investigation</w:t>
      </w:r>
      <w:r>
        <w:rPr>
          <w:sz w:val="24"/>
          <w:szCs w:val="24"/>
          <w:lang w:val="en-GB"/>
        </w:rPr>
        <w:t>, Reviewing and Editing.</w:t>
      </w:r>
      <w:r w:rsidRPr="00282B86">
        <w:rPr>
          <w:sz w:val="24"/>
          <w:szCs w:val="24"/>
          <w:lang w:val="en-GB"/>
        </w:rPr>
        <w:t xml:space="preserve"> </w:t>
      </w:r>
      <w:r>
        <w:rPr>
          <w:sz w:val="24"/>
          <w:szCs w:val="24"/>
          <w:lang w:val="en-GB"/>
        </w:rPr>
        <w:t>Ai Koyanagi</w:t>
      </w:r>
      <w:r w:rsidRPr="00282B86">
        <w:rPr>
          <w:sz w:val="24"/>
          <w:szCs w:val="24"/>
          <w:lang w:val="en-GB"/>
        </w:rPr>
        <w:t>: Supervision</w:t>
      </w:r>
      <w:r>
        <w:rPr>
          <w:sz w:val="24"/>
          <w:szCs w:val="24"/>
          <w:lang w:val="en-GB"/>
        </w:rPr>
        <w:t>, Methodology, Reviewing and Editing.</w:t>
      </w:r>
      <w:r w:rsidRPr="00282B86">
        <w:rPr>
          <w:sz w:val="24"/>
          <w:szCs w:val="24"/>
          <w:lang w:val="en-GB"/>
        </w:rPr>
        <w:t xml:space="preserve"> </w:t>
      </w:r>
      <w:r>
        <w:rPr>
          <w:sz w:val="24"/>
          <w:szCs w:val="24"/>
          <w:lang w:val="en-GB"/>
        </w:rPr>
        <w:t>Jo</w:t>
      </w:r>
      <w:r w:rsidR="007F2B25">
        <w:rPr>
          <w:sz w:val="24"/>
          <w:szCs w:val="24"/>
          <w:lang w:val="en-GB"/>
        </w:rPr>
        <w:t>s</w:t>
      </w:r>
      <w:r>
        <w:rPr>
          <w:sz w:val="24"/>
          <w:szCs w:val="24"/>
          <w:lang w:val="en-GB"/>
        </w:rPr>
        <w:t>e</w:t>
      </w:r>
      <w:r w:rsidR="007F2B25">
        <w:rPr>
          <w:sz w:val="24"/>
          <w:szCs w:val="24"/>
          <w:lang w:val="en-GB"/>
        </w:rPr>
        <w:t>ph</w:t>
      </w:r>
      <w:r>
        <w:rPr>
          <w:sz w:val="24"/>
          <w:szCs w:val="24"/>
          <w:lang w:val="en-GB"/>
        </w:rPr>
        <w:t xml:space="preserve"> Firth</w:t>
      </w:r>
      <w:r w:rsidRPr="00282B86">
        <w:rPr>
          <w:sz w:val="24"/>
          <w:szCs w:val="24"/>
          <w:lang w:val="en-GB"/>
        </w:rPr>
        <w:t>: Validation</w:t>
      </w:r>
      <w:r>
        <w:rPr>
          <w:sz w:val="24"/>
          <w:szCs w:val="24"/>
          <w:lang w:val="en-GB"/>
        </w:rPr>
        <w:t>, Reviewing and Editing</w:t>
      </w:r>
      <w:r w:rsidRPr="00282B86">
        <w:rPr>
          <w:sz w:val="24"/>
          <w:szCs w:val="24"/>
          <w:lang w:val="en-GB"/>
        </w:rPr>
        <w:t xml:space="preserve">. </w:t>
      </w:r>
      <w:r>
        <w:rPr>
          <w:sz w:val="24"/>
          <w:szCs w:val="24"/>
          <w:lang w:val="en-GB"/>
        </w:rPr>
        <w:t>Guillermo Felipe López-Sánchez</w:t>
      </w:r>
      <w:r w:rsidRPr="00282B86">
        <w:rPr>
          <w:sz w:val="24"/>
          <w:szCs w:val="24"/>
          <w:lang w:val="en-GB"/>
        </w:rPr>
        <w:t xml:space="preserve">: </w:t>
      </w:r>
      <w:r>
        <w:rPr>
          <w:sz w:val="24"/>
          <w:szCs w:val="24"/>
          <w:lang w:val="en-GB"/>
        </w:rPr>
        <w:t xml:space="preserve">Investigation, </w:t>
      </w:r>
      <w:r w:rsidRPr="00282B86">
        <w:rPr>
          <w:sz w:val="24"/>
          <w:szCs w:val="24"/>
          <w:lang w:val="en-GB"/>
        </w:rPr>
        <w:t>Reviewing and Editing</w:t>
      </w:r>
      <w:r>
        <w:rPr>
          <w:sz w:val="24"/>
          <w:szCs w:val="24"/>
          <w:lang w:val="en-GB"/>
        </w:rPr>
        <w:t>.</w:t>
      </w:r>
    </w:p>
    <w:p w14:paraId="56440CE4" w14:textId="77777777" w:rsidR="00597BE1" w:rsidRDefault="00597BE1" w:rsidP="00597BE1">
      <w:pPr>
        <w:spacing w:line="360" w:lineRule="auto"/>
        <w:rPr>
          <w:b/>
          <w:bCs/>
          <w:sz w:val="24"/>
          <w:szCs w:val="24"/>
          <w:lang w:val="en-GB"/>
        </w:rPr>
      </w:pPr>
      <w:r w:rsidRPr="000A38A5">
        <w:rPr>
          <w:b/>
          <w:bCs/>
          <w:sz w:val="24"/>
          <w:szCs w:val="24"/>
          <w:lang w:val="en-GB"/>
        </w:rPr>
        <w:t xml:space="preserve">Ethics approval </w:t>
      </w:r>
    </w:p>
    <w:p w14:paraId="0BAF7B92" w14:textId="77777777" w:rsidR="00597BE1" w:rsidRPr="000A38A5" w:rsidRDefault="00597BE1" w:rsidP="00597BE1">
      <w:pPr>
        <w:spacing w:line="360" w:lineRule="auto"/>
        <w:rPr>
          <w:b/>
          <w:bCs/>
          <w:sz w:val="24"/>
          <w:szCs w:val="24"/>
          <w:lang w:val="en-GB"/>
        </w:rPr>
      </w:pPr>
      <w:r>
        <w:rPr>
          <w:sz w:val="24"/>
          <w:szCs w:val="24"/>
          <w:lang w:val="en-GB"/>
        </w:rPr>
        <w:t>This study got the approval of the E</w:t>
      </w:r>
      <w:r w:rsidRPr="00137A3B">
        <w:rPr>
          <w:sz w:val="24"/>
          <w:szCs w:val="24"/>
          <w:lang w:val="en-GB"/>
        </w:rPr>
        <w:t xml:space="preserve">thics Committee of Research in Humans of the </w:t>
      </w:r>
      <w:r>
        <w:rPr>
          <w:sz w:val="24"/>
          <w:szCs w:val="24"/>
          <w:lang w:val="en-GB"/>
        </w:rPr>
        <w:t>University of Valencia</w:t>
      </w:r>
      <w:r w:rsidRPr="00137A3B">
        <w:rPr>
          <w:sz w:val="24"/>
          <w:szCs w:val="24"/>
          <w:lang w:val="en-GB"/>
        </w:rPr>
        <w:t xml:space="preserve"> (register code 1510464)</w:t>
      </w:r>
      <w:r>
        <w:rPr>
          <w:sz w:val="24"/>
          <w:szCs w:val="24"/>
          <w:lang w:val="en-GB"/>
        </w:rPr>
        <w:t>.</w:t>
      </w:r>
    </w:p>
    <w:p w14:paraId="6624435D" w14:textId="77777777" w:rsidR="00597BE1" w:rsidRDefault="00597BE1" w:rsidP="00597BE1">
      <w:pPr>
        <w:spacing w:line="360" w:lineRule="auto"/>
        <w:rPr>
          <w:sz w:val="24"/>
          <w:szCs w:val="24"/>
          <w:lang w:val="en-GB"/>
        </w:rPr>
      </w:pPr>
      <w:r w:rsidRPr="004B63BB">
        <w:rPr>
          <w:b/>
          <w:bCs/>
          <w:sz w:val="24"/>
          <w:szCs w:val="24"/>
          <w:lang w:val="en-GB"/>
        </w:rPr>
        <w:t>Consent to participate</w:t>
      </w:r>
      <w:r w:rsidRPr="004B63BB">
        <w:rPr>
          <w:sz w:val="24"/>
          <w:szCs w:val="24"/>
          <w:lang w:val="en-GB"/>
        </w:rPr>
        <w:t> </w:t>
      </w:r>
    </w:p>
    <w:p w14:paraId="183930E3" w14:textId="77777777" w:rsidR="00597BE1" w:rsidRPr="004B63BB" w:rsidRDefault="00597BE1" w:rsidP="00597BE1">
      <w:pPr>
        <w:spacing w:line="360" w:lineRule="auto"/>
        <w:rPr>
          <w:sz w:val="24"/>
          <w:szCs w:val="24"/>
          <w:lang w:val="en-GB"/>
        </w:rPr>
      </w:pPr>
      <w:r>
        <w:rPr>
          <w:sz w:val="24"/>
          <w:szCs w:val="24"/>
          <w:lang w:val="en-GB"/>
        </w:rPr>
        <w:t>Participants gave informed consent to participate.</w:t>
      </w:r>
    </w:p>
    <w:p w14:paraId="65152FBB" w14:textId="77777777" w:rsidR="00597BE1" w:rsidRDefault="00597BE1" w:rsidP="00597BE1">
      <w:pPr>
        <w:spacing w:line="360" w:lineRule="auto"/>
        <w:rPr>
          <w:sz w:val="24"/>
          <w:szCs w:val="24"/>
          <w:lang w:val="en-GB"/>
        </w:rPr>
      </w:pPr>
      <w:r w:rsidRPr="004B63BB">
        <w:rPr>
          <w:b/>
          <w:bCs/>
          <w:sz w:val="24"/>
          <w:szCs w:val="24"/>
          <w:lang w:val="en-GB"/>
        </w:rPr>
        <w:t>Consent for publication</w:t>
      </w:r>
      <w:r w:rsidRPr="004B63BB">
        <w:rPr>
          <w:sz w:val="24"/>
          <w:szCs w:val="24"/>
          <w:lang w:val="en-GB"/>
        </w:rPr>
        <w:t> </w:t>
      </w:r>
    </w:p>
    <w:p w14:paraId="78D50CC5" w14:textId="77777777" w:rsidR="00597BE1" w:rsidRPr="004B63BB" w:rsidRDefault="00597BE1" w:rsidP="00597BE1">
      <w:pPr>
        <w:spacing w:line="360" w:lineRule="auto"/>
        <w:rPr>
          <w:sz w:val="24"/>
          <w:szCs w:val="24"/>
          <w:lang w:val="en-GB"/>
        </w:rPr>
      </w:pPr>
      <w:r>
        <w:rPr>
          <w:sz w:val="24"/>
          <w:szCs w:val="24"/>
          <w:lang w:val="en-GB"/>
        </w:rPr>
        <w:t>Participants gave consent for publication of anonymized data.</w:t>
      </w:r>
    </w:p>
    <w:p w14:paraId="7077EEA6" w14:textId="77777777" w:rsidR="00597BE1" w:rsidRDefault="00597BE1" w:rsidP="00695BD1">
      <w:pPr>
        <w:spacing w:line="480" w:lineRule="auto"/>
        <w:rPr>
          <w:b/>
          <w:bCs/>
          <w:sz w:val="28"/>
          <w:szCs w:val="28"/>
          <w:lang w:val="en-GB"/>
        </w:rPr>
      </w:pPr>
    </w:p>
    <w:p w14:paraId="02028AFA" w14:textId="77777777" w:rsidR="00597BE1" w:rsidRDefault="00597BE1" w:rsidP="00695BD1">
      <w:pPr>
        <w:spacing w:line="480" w:lineRule="auto"/>
        <w:rPr>
          <w:b/>
          <w:bCs/>
          <w:sz w:val="28"/>
          <w:szCs w:val="28"/>
          <w:lang w:val="en-GB"/>
        </w:rPr>
      </w:pPr>
    </w:p>
    <w:p w14:paraId="5967E608" w14:textId="77777777" w:rsidR="00597BE1" w:rsidRDefault="00597BE1" w:rsidP="00695BD1">
      <w:pPr>
        <w:spacing w:line="480" w:lineRule="auto"/>
        <w:rPr>
          <w:b/>
          <w:bCs/>
          <w:sz w:val="28"/>
          <w:szCs w:val="28"/>
          <w:lang w:val="en-GB"/>
        </w:rPr>
      </w:pPr>
    </w:p>
    <w:p w14:paraId="26FB1032" w14:textId="369A52D1" w:rsidR="000073A0" w:rsidRPr="00695BD1" w:rsidRDefault="000073A0" w:rsidP="001612B0">
      <w:pPr>
        <w:pStyle w:val="Heading1"/>
      </w:pPr>
      <w:r w:rsidRPr="00695BD1">
        <w:lastRenderedPageBreak/>
        <w:t>Introduction</w:t>
      </w:r>
    </w:p>
    <w:p w14:paraId="3A8ABC2A" w14:textId="6851FAE5" w:rsidR="00C73E9E" w:rsidRPr="00D9232D" w:rsidRDefault="00E34D37" w:rsidP="004E289D">
      <w:pPr>
        <w:spacing w:line="480" w:lineRule="auto"/>
        <w:rPr>
          <w:sz w:val="24"/>
          <w:szCs w:val="24"/>
          <w:lang w:val="en-GB"/>
        </w:rPr>
      </w:pPr>
      <w:r>
        <w:rPr>
          <w:sz w:val="24"/>
          <w:szCs w:val="24"/>
          <w:lang w:val="en-GB"/>
        </w:rPr>
        <w:t>Internet use has been incorporated into almost</w:t>
      </w:r>
      <w:r w:rsidR="00987AA0">
        <w:rPr>
          <w:sz w:val="24"/>
          <w:szCs w:val="24"/>
          <w:lang w:val="en-GB"/>
        </w:rPr>
        <w:t xml:space="preserve"> every</w:t>
      </w:r>
      <w:r>
        <w:rPr>
          <w:sz w:val="24"/>
          <w:szCs w:val="24"/>
          <w:lang w:val="en-GB"/>
        </w:rPr>
        <w:t xml:space="preserve"> </w:t>
      </w:r>
      <w:r w:rsidR="003935B8" w:rsidRPr="00D9232D">
        <w:rPr>
          <w:sz w:val="24"/>
          <w:szCs w:val="24"/>
          <w:lang w:val="en-GB"/>
        </w:rPr>
        <w:t>facet of life.</w:t>
      </w:r>
      <w:r w:rsidR="00987AA0">
        <w:rPr>
          <w:sz w:val="24"/>
          <w:szCs w:val="24"/>
          <w:lang w:val="en-GB"/>
        </w:rPr>
        <w:t xml:space="preserve"> For example, the internet is used for communication via emails, video calls, and instant messages; for entertainment such as gaming, streaming TV shows</w:t>
      </w:r>
      <w:r w:rsidR="00CC2C8E">
        <w:rPr>
          <w:sz w:val="24"/>
          <w:szCs w:val="24"/>
          <w:lang w:val="en-GB"/>
        </w:rPr>
        <w:t>,</w:t>
      </w:r>
      <w:r w:rsidR="00987AA0">
        <w:rPr>
          <w:sz w:val="24"/>
          <w:szCs w:val="24"/>
          <w:lang w:val="en-GB"/>
        </w:rPr>
        <w:t xml:space="preserve"> and music; and for work/ education </w:t>
      </w:r>
      <w:r w:rsidR="00CC2C8E">
        <w:rPr>
          <w:sz w:val="24"/>
          <w:szCs w:val="24"/>
          <w:lang w:val="en-GB"/>
        </w:rPr>
        <w:t xml:space="preserve">by </w:t>
      </w:r>
      <w:r w:rsidR="00987AA0">
        <w:rPr>
          <w:sz w:val="24"/>
          <w:szCs w:val="24"/>
          <w:lang w:val="en-GB"/>
        </w:rPr>
        <w:t xml:space="preserve">providing a source of instant knowledge and information searching. </w:t>
      </w:r>
      <w:r w:rsidR="003935B8" w:rsidRPr="00D9232D">
        <w:rPr>
          <w:sz w:val="24"/>
          <w:szCs w:val="24"/>
          <w:lang w:val="en-GB"/>
        </w:rPr>
        <w:t xml:space="preserve">The </w:t>
      </w:r>
      <w:r w:rsidR="00987AA0">
        <w:rPr>
          <w:sz w:val="24"/>
          <w:szCs w:val="24"/>
          <w:lang w:val="en-GB"/>
        </w:rPr>
        <w:t>present</w:t>
      </w:r>
      <w:r w:rsidR="003935B8" w:rsidRPr="00D9232D">
        <w:rPr>
          <w:sz w:val="24"/>
          <w:szCs w:val="24"/>
          <w:lang w:val="en-GB"/>
        </w:rPr>
        <w:t xml:space="preserve"> generation of adolescents have simultaneously </w:t>
      </w:r>
      <w:r w:rsidR="00987AA0">
        <w:rPr>
          <w:sz w:val="24"/>
          <w:szCs w:val="24"/>
          <w:lang w:val="en-GB"/>
        </w:rPr>
        <w:t xml:space="preserve">aged </w:t>
      </w:r>
      <w:r w:rsidR="003935B8" w:rsidRPr="00D9232D">
        <w:rPr>
          <w:sz w:val="24"/>
          <w:szCs w:val="24"/>
          <w:lang w:val="en-GB"/>
        </w:rPr>
        <w:t xml:space="preserve">with the </w:t>
      </w:r>
      <w:r w:rsidR="00987AA0">
        <w:rPr>
          <w:sz w:val="24"/>
          <w:szCs w:val="24"/>
          <w:lang w:val="en-GB"/>
        </w:rPr>
        <w:t xml:space="preserve">introduction and expansion </w:t>
      </w:r>
      <w:r w:rsidR="003935B8" w:rsidRPr="00D9232D">
        <w:rPr>
          <w:sz w:val="24"/>
          <w:szCs w:val="24"/>
          <w:lang w:val="en-GB"/>
        </w:rPr>
        <w:t xml:space="preserve">of </w:t>
      </w:r>
      <w:r w:rsidR="00E82CA7" w:rsidRPr="00D9232D">
        <w:rPr>
          <w:sz w:val="24"/>
          <w:szCs w:val="24"/>
          <w:lang w:val="en-GB"/>
        </w:rPr>
        <w:t xml:space="preserve">tablets and </w:t>
      </w:r>
      <w:r w:rsidR="003935B8" w:rsidRPr="00D9232D">
        <w:rPr>
          <w:sz w:val="24"/>
          <w:szCs w:val="24"/>
          <w:lang w:val="en-GB"/>
        </w:rPr>
        <w:t xml:space="preserve">smartphones and </w:t>
      </w:r>
      <w:r w:rsidR="00E82CA7" w:rsidRPr="00D9232D">
        <w:rPr>
          <w:sz w:val="24"/>
          <w:szCs w:val="24"/>
          <w:lang w:val="en-GB"/>
        </w:rPr>
        <w:t>the rise of social networks</w:t>
      </w:r>
      <w:r w:rsidR="00B547C2" w:rsidRPr="00D9232D">
        <w:rPr>
          <w:sz w:val="24"/>
          <w:szCs w:val="24"/>
          <w:lang w:val="en-GB"/>
        </w:rPr>
        <w:t xml:space="preserve">, which comprises activities such as </w:t>
      </w:r>
      <w:r w:rsidR="00C566F4" w:rsidRPr="00D9232D">
        <w:rPr>
          <w:sz w:val="24"/>
          <w:szCs w:val="24"/>
          <w:lang w:val="en-GB"/>
        </w:rPr>
        <w:t xml:space="preserve">communicating, </w:t>
      </w:r>
      <w:r w:rsidR="00B547C2" w:rsidRPr="00D9232D">
        <w:rPr>
          <w:sz w:val="24"/>
          <w:szCs w:val="24"/>
          <w:lang w:val="en-GB"/>
        </w:rPr>
        <w:t xml:space="preserve">gaming, listening to music, or searching information, among others. </w:t>
      </w:r>
      <w:r w:rsidR="00C566F4" w:rsidRPr="00D9232D">
        <w:rPr>
          <w:sz w:val="24"/>
          <w:szCs w:val="24"/>
          <w:lang w:val="en-GB"/>
        </w:rPr>
        <w:t xml:space="preserve">The time </w:t>
      </w:r>
      <w:r w:rsidR="00987AA0">
        <w:rPr>
          <w:sz w:val="24"/>
          <w:szCs w:val="24"/>
          <w:lang w:val="en-GB"/>
        </w:rPr>
        <w:t xml:space="preserve">US </w:t>
      </w:r>
      <w:r w:rsidR="00C566F4" w:rsidRPr="00D9232D">
        <w:rPr>
          <w:sz w:val="24"/>
          <w:szCs w:val="24"/>
          <w:lang w:val="en-GB"/>
        </w:rPr>
        <w:t xml:space="preserve">adolescents </w:t>
      </w:r>
      <w:r w:rsidR="007011C4" w:rsidRPr="00D9232D">
        <w:rPr>
          <w:sz w:val="24"/>
          <w:szCs w:val="24"/>
          <w:lang w:val="en-GB"/>
        </w:rPr>
        <w:t>go</w:t>
      </w:r>
      <w:r w:rsidR="00C566F4" w:rsidRPr="00D9232D">
        <w:rPr>
          <w:sz w:val="24"/>
          <w:szCs w:val="24"/>
          <w:lang w:val="en-GB"/>
        </w:rPr>
        <w:t xml:space="preserve"> online</w:t>
      </w:r>
      <w:r w:rsidR="00987AA0">
        <w:rPr>
          <w:sz w:val="24"/>
          <w:szCs w:val="24"/>
          <w:lang w:val="en-GB"/>
        </w:rPr>
        <w:t xml:space="preserve"> more than doubled </w:t>
      </w:r>
      <w:r w:rsidR="007011C4" w:rsidRPr="00D9232D">
        <w:rPr>
          <w:sz w:val="24"/>
          <w:szCs w:val="24"/>
          <w:lang w:val="en-GB"/>
        </w:rPr>
        <w:t xml:space="preserve">between 2006 and 2016, and similar figures </w:t>
      </w:r>
      <w:r w:rsidR="00987AA0">
        <w:rPr>
          <w:sz w:val="24"/>
          <w:szCs w:val="24"/>
          <w:lang w:val="en-GB"/>
        </w:rPr>
        <w:t xml:space="preserve">have been observed </w:t>
      </w:r>
      <w:r w:rsidR="007011C4" w:rsidRPr="00D9232D">
        <w:rPr>
          <w:sz w:val="24"/>
          <w:szCs w:val="24"/>
          <w:lang w:val="en-GB"/>
        </w:rPr>
        <w:t>in other Western countries</w:t>
      </w:r>
      <w:r w:rsidR="00E9107F">
        <w:rPr>
          <w:sz w:val="24"/>
          <w:szCs w:val="24"/>
          <w:lang w:val="en-GB"/>
        </w:rPr>
        <w:t xml:space="preserve"> </w:t>
      </w:r>
      <w:r w:rsidR="007011C4" w:rsidRPr="00D9232D">
        <w:rPr>
          <w:sz w:val="24"/>
          <w:szCs w:val="24"/>
          <w:lang w:val="en-GB"/>
        </w:rPr>
        <w:fldChar w:fldCharType="begin" w:fldLock="1"/>
      </w:r>
      <w:r w:rsidR="00E9107F">
        <w:rPr>
          <w:sz w:val="24"/>
          <w:szCs w:val="24"/>
          <w:lang w:val="en-GB"/>
        </w:rPr>
        <w:instrText>ADDIN CSL_CITATION {"citationItems":[{"id":"ITEM-1","itemData":{"DOI":"10.1037/ppm0000203","ISSN":"21604142","abstract":"Studies have produced conflicting results about whether digital media (the Internet, texting, social media, and gaming) displace or complement use of older legacy media (print media such as books, magazines, and newspapers; TV; and movies). Here, we examine generational/time period trends in media use in nationally representative samples of 8th, 10th, and 12th graders in the United States, 1976-2016 (N = 1,021,209; 51% female). Digital media use has increased considerably, with the average 12th grader in 2016 spending more than twice as much time online as in 2006, and with time online, texting, and on social media totaling to about 6 hr a day by 2016. Whereas only half of 12th graders visited social media sites almost every day in 2008, 82% did by 2016. At the same time, iGen adolescents in the 2010s spent significantly less time on print media, TV, or movies compared with adolescents in previous decades. The percentage of 12th graders who read a book or a magazine every day declined from 60% in the late 1970s to 16% by 2016, and 8th graders spent almost an hour less time watching TV in 2016 compared with the early 1990s. Trends were fairly uniform across gender, race/ethnicity, and socioeconomic status. The rapid adoption of digital media since the 2000s has displaced the consumption of legacy media.","author":[{"dropping-particle":"","family":"Twenge","given":"Jean M.","non-dropping-particle":"","parse-names":false,"suffix":""},{"dropping-particle":"","family":"Martin","given":"Gabrielle N.","non-dropping-particle":"","parse-names":false,"suffix":""},{"dropping-particle":"","family":"Spitzberg","given":"Brian H.","non-dropping-particle":"","parse-names":false,"suffix":""}],"container-title":"Psychology of Popular Media Culture","id":"ITEM-1","issue":"4","issued":{"date-parts":[["2018"]]},"page":"329-345","title":"Trends in U.S. Adolescents' Media Use, 1976-2016: The Rise of Digital Media, the Decline of TV, and the (Near) Demise of Print","type":"article-journal","volume":"8"},"uris":["http://www.mendeley.com/documents/?uuid=857c0326-8b63-41f1-b6fd-f45965deffdb"]}],"mendeley":{"formattedCitation":"[1]","plainTextFormattedCitation":"[1]","previouslyFormattedCitation":"[1]"},"properties":{"noteIndex":0},"schema":"https://github.com/citation-style-language/schema/raw/master/csl-citation.json"}</w:instrText>
      </w:r>
      <w:r w:rsidR="007011C4" w:rsidRPr="00D9232D">
        <w:rPr>
          <w:sz w:val="24"/>
          <w:szCs w:val="24"/>
          <w:lang w:val="en-GB"/>
        </w:rPr>
        <w:fldChar w:fldCharType="separate"/>
      </w:r>
      <w:r w:rsidR="004E289D" w:rsidRPr="004E289D">
        <w:rPr>
          <w:noProof/>
          <w:sz w:val="24"/>
          <w:szCs w:val="24"/>
          <w:lang w:val="en-GB"/>
        </w:rPr>
        <w:t>[1]</w:t>
      </w:r>
      <w:r w:rsidR="007011C4" w:rsidRPr="00D9232D">
        <w:rPr>
          <w:sz w:val="24"/>
          <w:szCs w:val="24"/>
          <w:lang w:val="en-GB"/>
        </w:rPr>
        <w:fldChar w:fldCharType="end"/>
      </w:r>
      <w:r w:rsidR="00E9107F">
        <w:rPr>
          <w:sz w:val="24"/>
          <w:szCs w:val="24"/>
          <w:lang w:val="en-GB"/>
        </w:rPr>
        <w:t xml:space="preserve">. </w:t>
      </w:r>
      <w:r w:rsidR="00E82CA7" w:rsidRPr="00D9232D">
        <w:rPr>
          <w:sz w:val="24"/>
          <w:szCs w:val="24"/>
          <w:lang w:val="en-GB"/>
        </w:rPr>
        <w:t xml:space="preserve">In view of this, </w:t>
      </w:r>
      <w:r w:rsidR="00F91DE4" w:rsidRPr="00D9232D">
        <w:rPr>
          <w:sz w:val="24"/>
          <w:szCs w:val="24"/>
          <w:lang w:val="en-GB"/>
        </w:rPr>
        <w:t xml:space="preserve">a </w:t>
      </w:r>
      <w:r w:rsidR="00987AA0">
        <w:rPr>
          <w:sz w:val="24"/>
          <w:szCs w:val="24"/>
          <w:lang w:val="en-GB"/>
        </w:rPr>
        <w:t>plethora of studie</w:t>
      </w:r>
      <w:r w:rsidR="005A2135">
        <w:rPr>
          <w:sz w:val="24"/>
          <w:szCs w:val="24"/>
          <w:lang w:val="en-GB"/>
        </w:rPr>
        <w:t>s</w:t>
      </w:r>
      <w:r w:rsidR="00987AA0">
        <w:rPr>
          <w:sz w:val="24"/>
          <w:szCs w:val="24"/>
          <w:lang w:val="en-GB"/>
        </w:rPr>
        <w:t xml:space="preserve"> </w:t>
      </w:r>
      <w:r w:rsidR="00F91DE4" w:rsidRPr="00D9232D">
        <w:rPr>
          <w:sz w:val="24"/>
          <w:szCs w:val="24"/>
          <w:lang w:val="en-GB"/>
        </w:rPr>
        <w:t xml:space="preserve">have investigated </w:t>
      </w:r>
      <w:r w:rsidR="00987AA0">
        <w:rPr>
          <w:sz w:val="24"/>
          <w:szCs w:val="24"/>
          <w:lang w:val="en-GB"/>
        </w:rPr>
        <w:t>excessive i</w:t>
      </w:r>
      <w:r w:rsidR="00D9232D">
        <w:rPr>
          <w:sz w:val="24"/>
          <w:szCs w:val="24"/>
          <w:lang w:val="en-GB"/>
        </w:rPr>
        <w:t>nternet</w:t>
      </w:r>
      <w:r w:rsidR="00987AA0">
        <w:rPr>
          <w:sz w:val="24"/>
          <w:szCs w:val="24"/>
          <w:lang w:val="en-GB"/>
        </w:rPr>
        <w:t xml:space="preserve"> use</w:t>
      </w:r>
      <w:r w:rsidR="006D3D5C" w:rsidRPr="00D9232D">
        <w:rPr>
          <w:sz w:val="24"/>
          <w:szCs w:val="24"/>
          <w:lang w:val="en-GB"/>
        </w:rPr>
        <w:t xml:space="preserve"> in adolescents</w:t>
      </w:r>
      <w:r w:rsidR="007C28B3" w:rsidRPr="00D9232D">
        <w:rPr>
          <w:sz w:val="24"/>
          <w:szCs w:val="24"/>
          <w:lang w:val="en-GB"/>
        </w:rPr>
        <w:t>, observing a</w:t>
      </w:r>
      <w:r w:rsidR="00C73E9E" w:rsidRPr="00D9232D">
        <w:rPr>
          <w:sz w:val="24"/>
          <w:szCs w:val="24"/>
          <w:lang w:val="en-GB"/>
        </w:rPr>
        <w:t xml:space="preserve"> </w:t>
      </w:r>
      <w:r w:rsidR="007C28B3" w:rsidRPr="00D9232D">
        <w:rPr>
          <w:sz w:val="24"/>
          <w:szCs w:val="24"/>
          <w:lang w:val="en-GB"/>
        </w:rPr>
        <w:t xml:space="preserve">predominant </w:t>
      </w:r>
      <w:r w:rsidR="00C73E9E" w:rsidRPr="00D9232D">
        <w:rPr>
          <w:sz w:val="24"/>
          <w:szCs w:val="24"/>
          <w:lang w:val="en-GB"/>
        </w:rPr>
        <w:t>link to individual factors</w:t>
      </w:r>
      <w:r w:rsidR="0074732E">
        <w:rPr>
          <w:sz w:val="24"/>
          <w:szCs w:val="24"/>
          <w:lang w:val="en-GB"/>
        </w:rPr>
        <w:t xml:space="preserve"> such as </w:t>
      </w:r>
      <w:r w:rsidR="00E71033">
        <w:rPr>
          <w:sz w:val="24"/>
          <w:szCs w:val="24"/>
          <w:lang w:val="en-GB"/>
        </w:rPr>
        <w:t>gender, self-control, social anxiety or self-esteem among others</w:t>
      </w:r>
      <w:r w:rsidR="00C73E9E" w:rsidRPr="00D9232D">
        <w:rPr>
          <w:sz w:val="24"/>
          <w:szCs w:val="24"/>
          <w:lang w:val="en-GB"/>
        </w:rPr>
        <w:t xml:space="preserve">, and </w:t>
      </w:r>
      <w:r w:rsidR="007C28B3" w:rsidRPr="00D9232D">
        <w:rPr>
          <w:sz w:val="24"/>
          <w:szCs w:val="24"/>
          <w:lang w:val="en-GB"/>
        </w:rPr>
        <w:t>prevalence</w:t>
      </w:r>
      <w:r w:rsidR="00C73E9E" w:rsidRPr="00D9232D">
        <w:rPr>
          <w:sz w:val="24"/>
          <w:szCs w:val="24"/>
          <w:lang w:val="en-GB"/>
        </w:rPr>
        <w:t xml:space="preserve"> </w:t>
      </w:r>
      <w:r w:rsidR="007C28B3" w:rsidRPr="00D9232D">
        <w:rPr>
          <w:sz w:val="24"/>
          <w:szCs w:val="24"/>
          <w:lang w:val="en-GB"/>
        </w:rPr>
        <w:t>ranging up to a maximum of 26%</w:t>
      </w:r>
      <w:r w:rsidR="00E9107F">
        <w:rPr>
          <w:sz w:val="24"/>
          <w:szCs w:val="24"/>
          <w:lang w:val="en-GB"/>
        </w:rPr>
        <w:t xml:space="preserve"> </w:t>
      </w:r>
      <w:r w:rsidR="00C73E9E" w:rsidRPr="00D9232D">
        <w:rPr>
          <w:sz w:val="24"/>
          <w:szCs w:val="24"/>
          <w:lang w:val="en-GB"/>
        </w:rPr>
        <w:fldChar w:fldCharType="begin" w:fldLock="1"/>
      </w:r>
      <w:r w:rsidR="009D739B">
        <w:rPr>
          <w:sz w:val="24"/>
          <w:szCs w:val="24"/>
          <w:lang w:val="en-GB"/>
        </w:rPr>
        <w:instrText>ADDIN CSL_CITATION {"citationItems":[{"id":"ITEM-1","itemData":{"DOI":"10.1001/archpediatrics.2011.58","ISSN":"10724710","PMID":"21536950","abstract":"Objective: To investigate study quality and reported prevalence among the emergent area of problematic Internet use (PIU) research conducted in populations of US adolescents and college students. Data Sources: We searched PubMed, PsycINFO, and Web of Knowledge from inception to July 2010. Study Selection: Using a keyword search, we evaluated English-language PIU studies with populations of US adolescents and college students. Main Outcome Measures: Using a quality review tool based on the Strengthening the Reporting of Observational Studies in Epidemiology (STROBE) statement, 2 reviewers independently extracted data items including study setting, subject population, instrument used, and reported prevalence. Results: Search results yielded 658 articles. We identified 18 research studies that met inclusion criteria. Quality assessment of studies ranged between 14 and 29 total points of a possible 42 points; the average score was 23 (SD 5.1). Among these 18 studies, 8 reported prevalence estimates of US college student PIU; prevalence rates ranged from 0% to 26.3%. An additional 10 studies did not report prevalence. Conclusions: The evaluation of PIU remains incomplete and is hampered by methodological inconsistencies. The wide range of conceptual approaches may have impacted the reported prevalence rates. Despite the newness of this area of study, most studies in our review were published more than 3 years ago. Opportunities exist to pursue future studies adhering to recognized quality guidelines, as well as applying consistency in theoretical approach and validated instruments. ©2011 American Medical Association. All rights reserved.","author":[{"dropping-particle":"","family":"Moreno","given":"Megan A.","non-dropping-particle":"","parse-names":false,"suffix":""},{"dropping-particle":"","family":"Jelenchick","given":"Lauren","non-dropping-particle":"","parse-names":false,"suffix":""},{"dropping-particle":"","family":"Cox","given":"Elizabeth","non-dropping-particle":"","parse-names":false,"suffix":""},{"dropping-particle":"","family":"Young","given":"Henry","non-dropping-particle":"","parse-names":false,"suffix":""},{"dropping-particle":"","family":"Christakis","given":"Dimitri A.","non-dropping-particle":"","parse-names":false,"suffix":""}],"container-title":"Archives of Pediatrics and Adolescent Medicine","id":"ITEM-1","issue":"9","issued":{"date-parts":[["2011"]]},"page":"797-805","title":"Problematic internet use among US youth: A systematic review","type":"article-journal","volume":"165"},"uris":["http://www.mendeley.com/documents/?uuid=b1c82851-e4e6-4c41-8f55-4d8a0520af0b"]},{"id":"ITEM-2","itemData":{"DOI":"10.1080/02673843.2016.1227716","ISSN":"02673843","abstract":"The aim of this systematic literature review is to map the longitudinal research in the field of Internet Use (IU) and Problematic Internet Use (PIU) in adolescents and emergent adults. Further, this study endeavours to examine the terminology and instruments utilized in longitudinal IU and PIU research and investigate whether statistically significant results have arisen from the areas of research focus. In a total of 29 studies, trends in the research of adolescent/emergent adult IU and PIU were discovered. These trends were conceptualized into individual, contextual and activity-related factors. Findings suggested that individual factors are the most researched and have demonstrated significant relationships with adolescent/young adult PIU. However, more research on contextual and activity-related factors is needed in order to achieve a clearer understanding of young people’s IU and PIU behaviours, and to incorporate into a comprehensive model that will guide future research in this growing field.","author":[{"dropping-particle":"","family":"Anderson","given":"Emma Louise","non-dropping-particle":"","parse-names":false,"suffix":""},{"dropping-particle":"","family":"Steen","given":"Eloisa","non-dropping-particle":"","parse-names":false,"suffix":""},{"dropping-particle":"","family":"Stavropoulos","given":"Vasileios","non-dropping-particle":"","parse-names":false,"suffix":""}],"container-title":"International Journal of Adolescence and Youth","id":"ITEM-2","issue":"4","issued":{"date-parts":[["2017"]]},"page":"430-454","publisher":"Routledge","title":"Internet use and Problematic Internet Use: a systematic review of longitudinal research trends in adolescence and emergent adulthood","type":"article-journal","volume":"22"},"uris":["http://www.mendeley.com/documents/?uuid=45b0d141-c206-429f-9ad2-67f40880efe2"]}],"mendeley":{"formattedCitation":"[2, 3]","plainTextFormattedCitation":"[2, 3]","previouslyFormattedCitation":"[2, 3]"},"properties":{"noteIndex":0},"schema":"https://github.com/citation-style-language/schema/raw/master/csl-citation.json"}</w:instrText>
      </w:r>
      <w:r w:rsidR="00C73E9E" w:rsidRPr="00D9232D">
        <w:rPr>
          <w:sz w:val="24"/>
          <w:szCs w:val="24"/>
          <w:lang w:val="en-GB"/>
        </w:rPr>
        <w:fldChar w:fldCharType="separate"/>
      </w:r>
      <w:r w:rsidR="00846B1A" w:rsidRPr="00846B1A">
        <w:rPr>
          <w:noProof/>
          <w:sz w:val="24"/>
          <w:szCs w:val="24"/>
          <w:lang w:val="en-GB"/>
        </w:rPr>
        <w:t>[2, 3]</w:t>
      </w:r>
      <w:r w:rsidR="00C73E9E" w:rsidRPr="00D9232D">
        <w:rPr>
          <w:sz w:val="24"/>
          <w:szCs w:val="24"/>
          <w:lang w:val="en-GB"/>
        </w:rPr>
        <w:fldChar w:fldCharType="end"/>
      </w:r>
      <w:r w:rsidR="00E9107F">
        <w:rPr>
          <w:sz w:val="24"/>
          <w:szCs w:val="24"/>
          <w:lang w:val="en-GB"/>
        </w:rPr>
        <w:t>.</w:t>
      </w:r>
    </w:p>
    <w:p w14:paraId="521F6A43" w14:textId="5C877E30" w:rsidR="00CC2ABB" w:rsidRDefault="00EE254B" w:rsidP="004E289D">
      <w:pPr>
        <w:spacing w:line="480" w:lineRule="auto"/>
        <w:rPr>
          <w:sz w:val="24"/>
          <w:szCs w:val="24"/>
          <w:lang w:val="en-GB"/>
        </w:rPr>
      </w:pPr>
      <w:r w:rsidRPr="00D9232D">
        <w:rPr>
          <w:sz w:val="24"/>
          <w:szCs w:val="24"/>
          <w:lang w:val="en-GB"/>
        </w:rPr>
        <w:t>Worryingly</w:t>
      </w:r>
      <w:r w:rsidR="007C28B3" w:rsidRPr="00D9232D">
        <w:rPr>
          <w:sz w:val="24"/>
          <w:szCs w:val="24"/>
          <w:lang w:val="en-GB"/>
        </w:rPr>
        <w:t xml:space="preserve">, detrimental </w:t>
      </w:r>
      <w:r w:rsidR="00F91DE4" w:rsidRPr="00D9232D">
        <w:rPr>
          <w:sz w:val="24"/>
          <w:szCs w:val="24"/>
          <w:lang w:val="en-GB"/>
        </w:rPr>
        <w:t xml:space="preserve">effects of </w:t>
      </w:r>
      <w:r w:rsidR="00C11B78">
        <w:rPr>
          <w:sz w:val="24"/>
          <w:szCs w:val="24"/>
          <w:lang w:val="en-GB"/>
        </w:rPr>
        <w:t xml:space="preserve">excessive </w:t>
      </w:r>
      <w:r w:rsidR="00D9232D">
        <w:rPr>
          <w:sz w:val="24"/>
          <w:szCs w:val="24"/>
          <w:lang w:val="en-GB"/>
        </w:rPr>
        <w:t>Internet</w:t>
      </w:r>
      <w:r w:rsidR="00F91DE4" w:rsidRPr="00D9232D">
        <w:rPr>
          <w:sz w:val="24"/>
          <w:szCs w:val="24"/>
          <w:lang w:val="en-GB"/>
        </w:rPr>
        <w:t xml:space="preserve"> </w:t>
      </w:r>
      <w:r w:rsidR="004D3519">
        <w:rPr>
          <w:sz w:val="24"/>
          <w:szCs w:val="24"/>
          <w:lang w:val="en-GB"/>
        </w:rPr>
        <w:t xml:space="preserve">use </w:t>
      </w:r>
      <w:r w:rsidR="007C28B3" w:rsidRPr="00D9232D">
        <w:rPr>
          <w:sz w:val="24"/>
          <w:szCs w:val="24"/>
          <w:lang w:val="en-GB"/>
        </w:rPr>
        <w:t>ha</w:t>
      </w:r>
      <w:r w:rsidR="00E71033">
        <w:rPr>
          <w:sz w:val="24"/>
          <w:szCs w:val="24"/>
          <w:lang w:val="en-GB"/>
        </w:rPr>
        <w:t>s</w:t>
      </w:r>
      <w:r w:rsidR="007C28B3" w:rsidRPr="00D9232D">
        <w:rPr>
          <w:sz w:val="24"/>
          <w:szCs w:val="24"/>
          <w:lang w:val="en-GB"/>
        </w:rPr>
        <w:t xml:space="preserve"> been </w:t>
      </w:r>
      <w:r w:rsidR="00E71033">
        <w:rPr>
          <w:sz w:val="24"/>
          <w:szCs w:val="24"/>
          <w:lang w:val="en-GB"/>
        </w:rPr>
        <w:t xml:space="preserve">associated with various detrimental health outcomes </w:t>
      </w:r>
      <w:r w:rsidR="007C28B3" w:rsidRPr="00D9232D">
        <w:rPr>
          <w:sz w:val="24"/>
          <w:szCs w:val="24"/>
          <w:lang w:val="en-GB"/>
        </w:rPr>
        <w:t>observed in adolescents</w:t>
      </w:r>
      <w:r w:rsidR="00D5207E" w:rsidRPr="00D9232D">
        <w:rPr>
          <w:sz w:val="24"/>
          <w:szCs w:val="24"/>
          <w:lang w:val="en-GB"/>
        </w:rPr>
        <w:t xml:space="preserve">; a </w:t>
      </w:r>
      <w:r w:rsidR="00FB08E9" w:rsidRPr="00D9232D">
        <w:rPr>
          <w:sz w:val="24"/>
          <w:szCs w:val="24"/>
          <w:lang w:val="en-GB"/>
        </w:rPr>
        <w:t xml:space="preserve">longitudinal </w:t>
      </w:r>
      <w:r w:rsidR="00D5207E" w:rsidRPr="00D9232D">
        <w:rPr>
          <w:sz w:val="24"/>
          <w:szCs w:val="24"/>
          <w:lang w:val="en-GB"/>
        </w:rPr>
        <w:t xml:space="preserve">study </w:t>
      </w:r>
      <w:r w:rsidR="00FB08E9" w:rsidRPr="00D9232D">
        <w:rPr>
          <w:sz w:val="24"/>
          <w:szCs w:val="24"/>
          <w:lang w:val="en-GB"/>
        </w:rPr>
        <w:t xml:space="preserve">by Lam et al. </w:t>
      </w:r>
      <w:r w:rsidR="004D3519">
        <w:rPr>
          <w:sz w:val="24"/>
          <w:szCs w:val="24"/>
          <w:lang w:val="en-GB"/>
        </w:rPr>
        <w:t>including</w:t>
      </w:r>
      <w:r w:rsidR="00FB08E9" w:rsidRPr="00D9232D">
        <w:rPr>
          <w:sz w:val="24"/>
          <w:szCs w:val="24"/>
          <w:lang w:val="en-GB"/>
        </w:rPr>
        <w:t xml:space="preserve"> adolescents initially free of mental health</w:t>
      </w:r>
      <w:r w:rsidR="00C11B78">
        <w:rPr>
          <w:sz w:val="24"/>
          <w:szCs w:val="24"/>
          <w:lang w:val="en-GB"/>
        </w:rPr>
        <w:t xml:space="preserve"> complications</w:t>
      </w:r>
      <w:r w:rsidR="00FB08E9" w:rsidRPr="00D9232D">
        <w:rPr>
          <w:sz w:val="24"/>
          <w:szCs w:val="24"/>
          <w:lang w:val="en-GB"/>
        </w:rPr>
        <w:t xml:space="preserve"> identified pathological use of the </w:t>
      </w:r>
      <w:r w:rsidR="00D9232D">
        <w:rPr>
          <w:sz w:val="24"/>
          <w:szCs w:val="24"/>
          <w:lang w:val="en-GB"/>
        </w:rPr>
        <w:t>Internet</w:t>
      </w:r>
      <w:r w:rsidR="00FB08E9" w:rsidRPr="00D9232D">
        <w:rPr>
          <w:sz w:val="24"/>
          <w:szCs w:val="24"/>
          <w:lang w:val="en-GB"/>
        </w:rPr>
        <w:t xml:space="preserve"> as a risk factor for depression</w:t>
      </w:r>
      <w:r w:rsidR="00E9107F">
        <w:rPr>
          <w:sz w:val="24"/>
          <w:szCs w:val="24"/>
          <w:lang w:val="en-GB"/>
        </w:rPr>
        <w:t xml:space="preserve"> </w:t>
      </w:r>
      <w:r w:rsidR="005D1B51" w:rsidRPr="00D9232D">
        <w:rPr>
          <w:sz w:val="24"/>
          <w:szCs w:val="24"/>
          <w:lang w:val="en-GB"/>
        </w:rPr>
        <w:fldChar w:fldCharType="begin" w:fldLock="1"/>
      </w:r>
      <w:r w:rsidR="00E9107F">
        <w:rPr>
          <w:sz w:val="24"/>
          <w:szCs w:val="24"/>
          <w:lang w:val="en-GB"/>
        </w:rPr>
        <w:instrText>ADDIN CSL_CITATION {"citationItems":[{"id":"ITEM-1","itemData":{"DOI":"10.1001/archpediatrics.2010.159","ISSN":"1072-4710","PMID":"20679157","abstract":"Objective: To examine the effect of pathological use of the Internet on the mental health, including anxiety and depression, of adolescents in China. It is hypothesized that pathological use of the Internet is detrimental to adolescents' mental health. Design: A prospective study with a randomly generated cohort from the population. Setting: High schools in Guangzhou, China. Participants: Adolescents aged between 13 and 18 years. Main Exposure: Pathological use of the Internet was assessed using the Pathological Use of the Internet Test. Outcome Measures: Depression and anxiety were assessed by the Zung Depression and Anxiety Scales. Results: After adjusting for potential confounding factors, the relative risk of depression for those who used the Internet pathologically was about 2 1/2 times (incidence rate ratio, 2.5; 95% confidence interval, 1.3-4.3) that of those who did not exhibit the targeted pathological internet use behaviors. No significant relationship between pathological use of the Internet and anxiety at follow-up was observed. Conclusions: Results suggested that young people who are initially free of mental health problems but use the Internet pathologically could develop depression as a consequence. These results have direct implications for the prevention of mental illness in young people, particularly in developing countries. ©2010 American Medical Association. All rights reserved.","author":[{"dropping-particle":"","family":"Lam","given":"Lawrence T.","non-dropping-particle":"","parse-names":false,"suffix":""},{"dropping-particle":"","family":"Peng","given":"Zi-Wen","non-dropping-particle":"","parse-names":false,"suffix":""}],"container-title":"Archives of Pediatrics &amp; Adolescent Medicine","id":"ITEM-1","issue":"10","issued":{"date-parts":[["2010","8","1"]]},"page":"901-906","title":"Effect of Pathological Use of the Internet on Adolescent Mental Health","type":"article-journal","volume":"164"},"uris":["http://www.mendeley.com/documents/?uuid=98ba52a2-5fb6-47f2-9c1f-79b1e3501968"]}],"mendeley":{"formattedCitation":"[4]","plainTextFormattedCitation":"[4]","previouslyFormattedCitation":"[4]"},"properties":{"noteIndex":0},"schema":"https://github.com/citation-style-language/schema/raw/master/csl-citation.json"}</w:instrText>
      </w:r>
      <w:r w:rsidR="005D1B51" w:rsidRPr="00D9232D">
        <w:rPr>
          <w:sz w:val="24"/>
          <w:szCs w:val="24"/>
          <w:lang w:val="en-GB"/>
        </w:rPr>
        <w:fldChar w:fldCharType="separate"/>
      </w:r>
      <w:r w:rsidR="004E289D" w:rsidRPr="004E289D">
        <w:rPr>
          <w:noProof/>
          <w:sz w:val="24"/>
          <w:szCs w:val="24"/>
          <w:lang w:val="en-GB"/>
        </w:rPr>
        <w:t>[4]</w:t>
      </w:r>
      <w:r w:rsidR="005D1B51" w:rsidRPr="00D9232D">
        <w:rPr>
          <w:sz w:val="24"/>
          <w:szCs w:val="24"/>
          <w:lang w:val="en-GB"/>
        </w:rPr>
        <w:fldChar w:fldCharType="end"/>
      </w:r>
      <w:r w:rsidR="00E9107F">
        <w:rPr>
          <w:sz w:val="24"/>
          <w:szCs w:val="24"/>
          <w:lang w:val="en-GB"/>
        </w:rPr>
        <w:t>.</w:t>
      </w:r>
      <w:r w:rsidR="00FB08E9" w:rsidRPr="00D9232D">
        <w:rPr>
          <w:sz w:val="24"/>
          <w:szCs w:val="24"/>
          <w:lang w:val="en-GB"/>
        </w:rPr>
        <w:t xml:space="preserve"> </w:t>
      </w:r>
      <w:r w:rsidR="00861013" w:rsidRPr="00D9232D">
        <w:rPr>
          <w:sz w:val="24"/>
          <w:szCs w:val="24"/>
          <w:lang w:val="en-GB"/>
        </w:rPr>
        <w:t>Also</w:t>
      </w:r>
      <w:r w:rsidR="00FB08E9" w:rsidRPr="00D9232D">
        <w:rPr>
          <w:sz w:val="24"/>
          <w:szCs w:val="24"/>
          <w:lang w:val="en-GB"/>
        </w:rPr>
        <w:t xml:space="preserve">, a more recent study </w:t>
      </w:r>
      <w:r w:rsidR="00027131" w:rsidRPr="00D9232D">
        <w:rPr>
          <w:sz w:val="24"/>
          <w:szCs w:val="24"/>
          <w:lang w:val="en-GB"/>
        </w:rPr>
        <w:t xml:space="preserve">involving British adolescents showed </w:t>
      </w:r>
      <w:r w:rsidR="00E71033" w:rsidRPr="00E71033">
        <w:rPr>
          <w:sz w:val="24"/>
          <w:szCs w:val="24"/>
          <w:lang w:val="en-GB"/>
        </w:rPr>
        <w:t xml:space="preserve">excessive use of Internet  associated with </w:t>
      </w:r>
      <w:r w:rsidR="00027131" w:rsidRPr="00D9232D">
        <w:rPr>
          <w:sz w:val="24"/>
          <w:szCs w:val="24"/>
          <w:lang w:val="en-GB"/>
        </w:rPr>
        <w:t>conduct problems, hyperactivity, poorer physical health, depression, and impact on daily life activities</w:t>
      </w:r>
      <w:r w:rsidR="00E9107F">
        <w:rPr>
          <w:sz w:val="24"/>
          <w:szCs w:val="24"/>
          <w:lang w:val="en-GB"/>
        </w:rPr>
        <w:t xml:space="preserve"> </w:t>
      </w:r>
      <w:r w:rsidR="00861013" w:rsidRPr="00D9232D">
        <w:rPr>
          <w:sz w:val="24"/>
          <w:szCs w:val="24"/>
          <w:lang w:val="en-GB"/>
        </w:rPr>
        <w:fldChar w:fldCharType="begin" w:fldLock="1"/>
      </w:r>
      <w:r w:rsidR="00E9107F">
        <w:rPr>
          <w:sz w:val="24"/>
          <w:szCs w:val="24"/>
          <w:lang w:val="en-GB"/>
        </w:rPr>
        <w:instrText>ADDIN CSL_CITATION {"citationItems":[{"id":"ITEM-1","itemData":{"DOI":"10.1016/j.addbeh.2018.09.007","ISSN":"03064603","PMID":"30579146","abstract":"Despite concerns about the effects of internet use, little is known about how problematic internet use impacts on British children and adolescents. By adapting the Problematic Internet Use Questionnaire (PIUQ, Demetrovics, Szeredi, &amp; Rózsa, 2008), this study seeks its validation while studying its association with psychopathological and health problems. A sample of 1,814 children and adolescents (aged 10–16 years old) from UK schools completed questionnaires about PIU, behavioural problems, depression, anxiety and health problems. Confirmatory Factor Analysis identified three independent factors: Neglect, Obsession and Control Disorder. Using path analysis, PIU was significantly predicted by conduct problems, hyperactivity, impact on daily life activities, depression and poorer physical health. Males were more likely than females to score higher on PIU. The study shows for the first time that the adapted PIU questionnaire constitutes a valid tool for the assessment of problematic internet use among children/adolescents. The results also suggest an urgent need for the development of intervention strategies.","author":[{"dropping-particle":"","family":"Asam","given":"Aiman","non-dropping-particle":"El","parse-names":false,"suffix":""},{"dropping-particle":"","family":"Samara","given":"Muthanna","non-dropping-particle":"","parse-names":false,"suffix":""},{"dropping-particle":"","family":"Terry","given":"Philip","non-dropping-particle":"","parse-names":false,"suffix":""}],"container-title":"Addictive Behaviors","id":"ITEM-1","issued":{"date-parts":[["2019","3"]]},"page":"428-436","publisher":"Elsevier Ltd","title":"Problematic internet use and mental health among British children and adolescents","type":"article-journal","volume":"90"},"uris":["http://www.mendeley.com/documents/?uuid=6ed6d6a4-e225-4176-b5a4-6bf833b71cc6"]}],"mendeley":{"formattedCitation":"[5]","plainTextFormattedCitation":"[5]","previouslyFormattedCitation":"[5]"},"properties":{"noteIndex":0},"schema":"https://github.com/citation-style-language/schema/raw/master/csl-citation.json"}</w:instrText>
      </w:r>
      <w:r w:rsidR="00861013" w:rsidRPr="00D9232D">
        <w:rPr>
          <w:sz w:val="24"/>
          <w:szCs w:val="24"/>
          <w:lang w:val="en-GB"/>
        </w:rPr>
        <w:fldChar w:fldCharType="separate"/>
      </w:r>
      <w:r w:rsidR="004E289D" w:rsidRPr="004E289D">
        <w:rPr>
          <w:noProof/>
          <w:sz w:val="24"/>
          <w:szCs w:val="24"/>
          <w:lang w:val="en-GB"/>
        </w:rPr>
        <w:t>[5]</w:t>
      </w:r>
      <w:r w:rsidR="00861013" w:rsidRPr="00D9232D">
        <w:rPr>
          <w:sz w:val="24"/>
          <w:szCs w:val="24"/>
          <w:lang w:val="en-GB"/>
        </w:rPr>
        <w:fldChar w:fldCharType="end"/>
      </w:r>
      <w:r w:rsidR="00E9107F">
        <w:rPr>
          <w:sz w:val="24"/>
          <w:szCs w:val="24"/>
          <w:lang w:val="en-GB"/>
        </w:rPr>
        <w:t>.</w:t>
      </w:r>
      <w:r w:rsidR="00861013" w:rsidRPr="00D9232D">
        <w:rPr>
          <w:sz w:val="24"/>
          <w:szCs w:val="24"/>
          <w:lang w:val="en-GB"/>
        </w:rPr>
        <w:t xml:space="preserve"> </w:t>
      </w:r>
      <w:r w:rsidR="00C11B78">
        <w:rPr>
          <w:sz w:val="24"/>
          <w:szCs w:val="24"/>
          <w:lang w:val="en-GB"/>
        </w:rPr>
        <w:t>Moreover</w:t>
      </w:r>
      <w:r w:rsidR="005931DE" w:rsidRPr="00D9232D">
        <w:rPr>
          <w:sz w:val="24"/>
          <w:szCs w:val="24"/>
          <w:lang w:val="en-GB"/>
        </w:rPr>
        <w:t xml:space="preserve">, a </w:t>
      </w:r>
      <w:r w:rsidR="00D9232D">
        <w:rPr>
          <w:sz w:val="24"/>
          <w:szCs w:val="24"/>
          <w:lang w:val="en-GB"/>
        </w:rPr>
        <w:t>dose-</w:t>
      </w:r>
      <w:r w:rsidR="005931DE" w:rsidRPr="00D9232D">
        <w:rPr>
          <w:sz w:val="24"/>
          <w:szCs w:val="24"/>
          <w:lang w:val="en-GB"/>
        </w:rPr>
        <w:t xml:space="preserve">time-response </w:t>
      </w:r>
      <w:r w:rsidR="00D9232D">
        <w:rPr>
          <w:sz w:val="24"/>
          <w:szCs w:val="24"/>
          <w:lang w:val="en-GB"/>
        </w:rPr>
        <w:t>association</w:t>
      </w:r>
      <w:r w:rsidR="005931DE" w:rsidRPr="00D9232D">
        <w:rPr>
          <w:sz w:val="24"/>
          <w:szCs w:val="24"/>
          <w:lang w:val="en-GB"/>
        </w:rPr>
        <w:t xml:space="preserve"> </w:t>
      </w:r>
      <w:r w:rsidR="00D15B4F" w:rsidRPr="00D9232D">
        <w:rPr>
          <w:sz w:val="24"/>
          <w:szCs w:val="24"/>
          <w:lang w:val="en-GB"/>
        </w:rPr>
        <w:t>between</w:t>
      </w:r>
      <w:r w:rsidR="005931DE" w:rsidRPr="00D9232D">
        <w:rPr>
          <w:sz w:val="24"/>
          <w:szCs w:val="24"/>
          <w:lang w:val="en-GB"/>
        </w:rPr>
        <w:t xml:space="preserve"> the use of </w:t>
      </w:r>
      <w:r w:rsidR="00D15B4F" w:rsidRPr="00D9232D">
        <w:rPr>
          <w:sz w:val="24"/>
          <w:szCs w:val="24"/>
          <w:lang w:val="en-GB"/>
        </w:rPr>
        <w:t>social media</w:t>
      </w:r>
      <w:r w:rsidR="005931DE" w:rsidRPr="00D9232D">
        <w:rPr>
          <w:sz w:val="24"/>
          <w:szCs w:val="24"/>
          <w:lang w:val="en-GB"/>
        </w:rPr>
        <w:t xml:space="preserve"> </w:t>
      </w:r>
      <w:r w:rsidR="00D15B4F" w:rsidRPr="00D9232D">
        <w:rPr>
          <w:sz w:val="24"/>
          <w:szCs w:val="24"/>
          <w:lang w:val="en-GB"/>
        </w:rPr>
        <w:t>and</w:t>
      </w:r>
      <w:r w:rsidR="005931DE" w:rsidRPr="00D9232D">
        <w:rPr>
          <w:sz w:val="24"/>
          <w:szCs w:val="24"/>
          <w:lang w:val="en-GB"/>
        </w:rPr>
        <w:t xml:space="preserve"> </w:t>
      </w:r>
      <w:r w:rsidR="00D15B4F" w:rsidRPr="00D9232D">
        <w:rPr>
          <w:sz w:val="24"/>
          <w:szCs w:val="24"/>
          <w:lang w:val="en-GB"/>
        </w:rPr>
        <w:t xml:space="preserve">an increase </w:t>
      </w:r>
      <w:r w:rsidR="00810E9F">
        <w:rPr>
          <w:sz w:val="24"/>
          <w:szCs w:val="24"/>
          <w:lang w:val="en-GB"/>
        </w:rPr>
        <w:t>in</w:t>
      </w:r>
      <w:r w:rsidR="00D15B4F" w:rsidRPr="00D9232D">
        <w:rPr>
          <w:sz w:val="24"/>
          <w:szCs w:val="24"/>
          <w:lang w:val="en-GB"/>
        </w:rPr>
        <w:t xml:space="preserve"> symptoms of depression, conduct problems, and episodic heavy drinking has been previously identified</w:t>
      </w:r>
      <w:r w:rsidR="00E9107F">
        <w:rPr>
          <w:sz w:val="24"/>
          <w:szCs w:val="24"/>
          <w:lang w:val="en-GB"/>
        </w:rPr>
        <w:t xml:space="preserve"> </w:t>
      </w:r>
      <w:r w:rsidR="00D15B4F" w:rsidRPr="00D9232D">
        <w:rPr>
          <w:sz w:val="24"/>
          <w:szCs w:val="24"/>
          <w:lang w:val="en-GB"/>
        </w:rPr>
        <w:fldChar w:fldCharType="begin" w:fldLock="1"/>
      </w:r>
      <w:r w:rsidR="00E9107F">
        <w:rPr>
          <w:sz w:val="24"/>
          <w:szCs w:val="24"/>
          <w:lang w:val="en-GB"/>
        </w:rPr>
        <w:instrText>ADDIN CSL_CITATION {"citationItems":[{"id":"ITEM-1","itemData":{"DOI":"10.1016/j.adolescence.2019.06.013","ISSN":"10959254","PMID":"31254779","abstract":"Introduction: Adolescent use of social media has been linked to a range of negative outcomes, but it is still unclear whether the associations are spurious. To address this issue, we examined if within-individual change in time spent on social media was associated with within-individual changes in depression, conduct problems, and episodic heavy drinking in a sample of adolescents using first-differencing models (FD-models). Methods: A sample of 763 Norwegian adolescents (45.1% boys; mean age 15.22 years, standard deviation 1.44) completed two questionnaires 6-months apart. The associations between changes in time spent on social media and symptoms of depression, conduct problems, and frequency of episodic heavy drinking were estimated using FD-models, a statistical technique that effectively controls for all time-invariant individual factors. We also accounted for three time-variant putative confounders: frequency of sports practice, frequency of unsupervised leisure activities, and peer relationship problems. Results: Increases in time spent on social media were associated with increases in symptoms of depression (b = 0.13 [95% CI: 0.01, 0.24], p = 0.038), increases in conduct problems (b = 0.07 [95% CI: 0.02, 0.10], p = 0.007), and increases in episodic heavy drinking (b = 0.10 [95% CI: 0.06, 0.15], p &lt; 0.001), after adjusting for changes in the three hypothesized confounders. The effect-sizes for these relationships were, however, quite modest. Conclusion: Increased time spent on social media was modestly related to increases in depression, conduct problems, as well as frequency of episodic heavy drinking among adolescents.","author":[{"dropping-particle":"","family":"Brunborg","given":"Geir Scott","non-dropping-particle":"","parse-names":false,"suffix":""},{"dropping-particle":"","family":"Burdzovic Andreas","given":"Jasmina","non-dropping-particle":"","parse-names":false,"suffix":""}],"container-title":"Journal of Adolescence","id":"ITEM-1","issue":"June","issued":{"date-parts":[["2019"]]},"page":"201-209","title":"Increase in time spent on social media is associated with modest increase in depression, conduct problems, and episodic heavy drinking","type":"article-journal","volume":"74"},"uris":["http://www.mendeley.com/documents/?uuid=976760af-da05-464e-98d8-f17156ffc848"]}],"mendeley":{"formattedCitation":"[6]","plainTextFormattedCitation":"[6]","previouslyFormattedCitation":"[6]"},"properties":{"noteIndex":0},"schema":"https://github.com/citation-style-language/schema/raw/master/csl-citation.json"}</w:instrText>
      </w:r>
      <w:r w:rsidR="00D15B4F" w:rsidRPr="00D9232D">
        <w:rPr>
          <w:sz w:val="24"/>
          <w:szCs w:val="24"/>
          <w:lang w:val="en-GB"/>
        </w:rPr>
        <w:fldChar w:fldCharType="separate"/>
      </w:r>
      <w:r w:rsidR="004E289D" w:rsidRPr="004E289D">
        <w:rPr>
          <w:noProof/>
          <w:sz w:val="24"/>
          <w:szCs w:val="24"/>
          <w:lang w:val="en-GB"/>
        </w:rPr>
        <w:t>[6]</w:t>
      </w:r>
      <w:r w:rsidR="00D15B4F" w:rsidRPr="00D9232D">
        <w:rPr>
          <w:sz w:val="24"/>
          <w:szCs w:val="24"/>
          <w:lang w:val="en-GB"/>
        </w:rPr>
        <w:fldChar w:fldCharType="end"/>
      </w:r>
      <w:r w:rsidR="00E9107F">
        <w:rPr>
          <w:sz w:val="24"/>
          <w:szCs w:val="24"/>
          <w:lang w:val="en-GB"/>
        </w:rPr>
        <w:t>.</w:t>
      </w:r>
      <w:r w:rsidR="00D15B4F" w:rsidRPr="00D9232D">
        <w:rPr>
          <w:sz w:val="24"/>
          <w:szCs w:val="24"/>
          <w:lang w:val="en-GB"/>
        </w:rPr>
        <w:t xml:space="preserve"> </w:t>
      </w:r>
      <w:r w:rsidR="00CC2ABB" w:rsidRPr="00CC2ABB">
        <w:rPr>
          <w:sz w:val="24"/>
          <w:szCs w:val="24"/>
          <w:lang w:val="en-GB"/>
        </w:rPr>
        <w:t xml:space="preserve">It should also be noted </w:t>
      </w:r>
      <w:r w:rsidR="00CC2ABB" w:rsidRPr="00CC2ABB">
        <w:rPr>
          <w:sz w:val="24"/>
          <w:szCs w:val="24"/>
          <w:lang w:val="en-GB"/>
        </w:rPr>
        <w:lastRenderedPageBreak/>
        <w:t xml:space="preserve">however that other studies have found limited evidence of adverse psychological effects from </w:t>
      </w:r>
      <w:r w:rsidR="00CC2ABB">
        <w:rPr>
          <w:sz w:val="24"/>
          <w:szCs w:val="24"/>
          <w:lang w:val="en-GB"/>
        </w:rPr>
        <w:t>I</w:t>
      </w:r>
      <w:r w:rsidR="00CC2ABB" w:rsidRPr="00CC2ABB">
        <w:rPr>
          <w:sz w:val="24"/>
          <w:szCs w:val="24"/>
          <w:lang w:val="en-GB"/>
        </w:rPr>
        <w:t>nternet usage in general</w:t>
      </w:r>
      <w:r w:rsidR="00E9107F">
        <w:rPr>
          <w:sz w:val="24"/>
          <w:szCs w:val="24"/>
          <w:lang w:val="en-GB"/>
        </w:rPr>
        <w:t xml:space="preserve"> </w:t>
      </w:r>
      <w:r w:rsidR="00CC2ABB">
        <w:rPr>
          <w:sz w:val="24"/>
          <w:szCs w:val="24"/>
          <w:lang w:val="en-GB"/>
        </w:rPr>
        <w:fldChar w:fldCharType="begin" w:fldLock="1"/>
      </w:r>
      <w:r w:rsidR="00E9107F">
        <w:rPr>
          <w:sz w:val="24"/>
          <w:szCs w:val="24"/>
          <w:lang w:val="en-GB"/>
        </w:rPr>
        <w:instrText>ADDIN CSL_CITATION {"citationItems":[{"id":"ITEM-1","itemData":{"DOI":"10.1007/s00127-019-01825-4","ISBN":"0123456789","ISSN":"14339285","PMID":"31925481","abstract":"Introduction: In light of growing concerns about an increasingly digital adolescence, the academic field investigating how digital technologies affect adolescents’ psychological well-being is growing rapidly. In the last years, much research has amassed, and this has been summarised in over 80 systematic reviews and meta-analyses. Materials and Methods: Systematic reviews, meta-analyses and key studies are reviewed to provide insights into the state of current research linking digital technology and social media use to well-being; possible future directions and improvements are discussed. Results: When examining the reviews, it becomes evident that the research field is dominated by cross-sectional work that is generally of a low quality standard. While research has highlighted the importance of differentiating between different types of digital technology use many studies do not consider such necessary nuances. These limitations aside, the association between digital technology use, or social media use in particular, and psychological well-being is—on average—negative but very small. Furthermore, the direction of the link between digital technology use and well-being is still unclear: effects have been found to exist in both directions and there has been little work done to rule out potential confounders. Conclusions: Reviewing the last decade of reviews in the area, it is evident that the research field needs to refocus on improving transparency, interpreting effect sizes and changing measurement. It also needs to show a greater appreciation for the individual differences that will inherently shape each adolescent’s reaction to digital technologies.","author":[{"dropping-particle":"","family":"Orben","given":"Amy","non-dropping-particle":"","parse-names":false,"suffix":""}],"container-title":"Social Psychiatry and Psychiatric Epidemiology","id":"ITEM-1","issue":"4","issued":{"date-parts":[["2020"]]},"page":"407-414","publisher":"Springer Berlin Heidelberg","title":"Teenagers, screens and social media: a narrative review of reviews and key studies","type":"article-journal","volume":"55"},"uris":["http://www.mendeley.com/documents/?uuid=7495d0dc-51ed-4b7b-b3b1-4203d8f70c38"]}],"mendeley":{"formattedCitation":"[7]","plainTextFormattedCitation":"[7]","previouslyFormattedCitation":"[7]"},"properties":{"noteIndex":0},"schema":"https://github.com/citation-style-language/schema/raw/master/csl-citation.json"}</w:instrText>
      </w:r>
      <w:r w:rsidR="00CC2ABB">
        <w:rPr>
          <w:sz w:val="24"/>
          <w:szCs w:val="24"/>
          <w:lang w:val="en-GB"/>
        </w:rPr>
        <w:fldChar w:fldCharType="separate"/>
      </w:r>
      <w:r w:rsidR="004E289D" w:rsidRPr="004E289D">
        <w:rPr>
          <w:noProof/>
          <w:sz w:val="24"/>
          <w:szCs w:val="24"/>
          <w:lang w:val="en-GB"/>
        </w:rPr>
        <w:t>[7]</w:t>
      </w:r>
      <w:r w:rsidR="00CC2ABB">
        <w:rPr>
          <w:sz w:val="24"/>
          <w:szCs w:val="24"/>
          <w:lang w:val="en-GB"/>
        </w:rPr>
        <w:fldChar w:fldCharType="end"/>
      </w:r>
      <w:r w:rsidR="00E9107F">
        <w:rPr>
          <w:sz w:val="24"/>
          <w:szCs w:val="24"/>
          <w:lang w:val="en-GB"/>
        </w:rPr>
        <w:t>,</w:t>
      </w:r>
      <w:r w:rsidR="00CC2ABB" w:rsidRPr="00CC2ABB">
        <w:rPr>
          <w:sz w:val="24"/>
          <w:szCs w:val="24"/>
          <w:lang w:val="en-GB"/>
        </w:rPr>
        <w:t xml:space="preserve"> and causal mechanisms of the observed associations so far have yet to be established.</w:t>
      </w:r>
    </w:p>
    <w:p w14:paraId="51664AC5" w14:textId="1C43D8A3" w:rsidR="00FB08E9" w:rsidRPr="00D9232D" w:rsidRDefault="00CC2ABB" w:rsidP="004E289D">
      <w:pPr>
        <w:spacing w:line="480" w:lineRule="auto"/>
        <w:rPr>
          <w:sz w:val="24"/>
          <w:szCs w:val="24"/>
          <w:lang w:val="en-GB"/>
        </w:rPr>
      </w:pPr>
      <w:bookmarkStart w:id="4" w:name="_Hlk76996745"/>
      <w:r>
        <w:rPr>
          <w:sz w:val="24"/>
          <w:szCs w:val="24"/>
          <w:lang w:val="en-GB"/>
        </w:rPr>
        <w:t>Nonetheless</w:t>
      </w:r>
      <w:r w:rsidR="00D15B4F" w:rsidRPr="00D9232D">
        <w:rPr>
          <w:sz w:val="24"/>
          <w:szCs w:val="24"/>
          <w:lang w:val="en-GB"/>
        </w:rPr>
        <w:t xml:space="preserve">, there is </w:t>
      </w:r>
      <w:r>
        <w:rPr>
          <w:sz w:val="24"/>
          <w:szCs w:val="24"/>
          <w:lang w:val="en-GB"/>
        </w:rPr>
        <w:t xml:space="preserve">also growing </w:t>
      </w:r>
      <w:r w:rsidR="00D15B4F" w:rsidRPr="00D9232D">
        <w:rPr>
          <w:sz w:val="24"/>
          <w:szCs w:val="24"/>
          <w:lang w:val="en-GB"/>
        </w:rPr>
        <w:t xml:space="preserve">evidence of </w:t>
      </w:r>
      <w:r w:rsidR="005D1B51" w:rsidRPr="00D9232D">
        <w:rPr>
          <w:sz w:val="24"/>
          <w:szCs w:val="24"/>
          <w:lang w:val="en-GB"/>
        </w:rPr>
        <w:t xml:space="preserve">an </w:t>
      </w:r>
      <w:r w:rsidR="00810E9F">
        <w:rPr>
          <w:sz w:val="24"/>
          <w:szCs w:val="24"/>
          <w:lang w:val="en-GB"/>
        </w:rPr>
        <w:t xml:space="preserve">association between intensive Internet use and </w:t>
      </w:r>
      <w:r w:rsidR="00D15B4F" w:rsidRPr="00D9232D">
        <w:rPr>
          <w:sz w:val="24"/>
          <w:szCs w:val="24"/>
          <w:lang w:val="en-GB"/>
        </w:rPr>
        <w:t xml:space="preserve">worse physical health outcomes; </w:t>
      </w:r>
      <w:r w:rsidR="005D1B51" w:rsidRPr="00D9232D">
        <w:rPr>
          <w:sz w:val="24"/>
          <w:szCs w:val="24"/>
          <w:lang w:val="en-GB"/>
        </w:rPr>
        <w:t>Cassidy-</w:t>
      </w:r>
      <w:proofErr w:type="spellStart"/>
      <w:r w:rsidR="005D1B51" w:rsidRPr="00D9232D">
        <w:rPr>
          <w:sz w:val="24"/>
          <w:szCs w:val="24"/>
          <w:lang w:val="en-GB"/>
        </w:rPr>
        <w:t>Bushrow</w:t>
      </w:r>
      <w:proofErr w:type="spellEnd"/>
      <w:r w:rsidR="005D1B51" w:rsidRPr="00D9232D">
        <w:rPr>
          <w:sz w:val="24"/>
          <w:szCs w:val="24"/>
          <w:lang w:val="en-GB"/>
        </w:rPr>
        <w:t xml:space="preserve"> </w:t>
      </w:r>
      <w:r w:rsidR="00D15B4F" w:rsidRPr="00D9232D">
        <w:rPr>
          <w:sz w:val="24"/>
          <w:szCs w:val="24"/>
          <w:lang w:val="en-GB"/>
        </w:rPr>
        <w:t xml:space="preserve">et al. observed </w:t>
      </w:r>
      <w:r>
        <w:rPr>
          <w:sz w:val="24"/>
          <w:szCs w:val="24"/>
          <w:lang w:val="en-GB"/>
        </w:rPr>
        <w:t>heavy internet usage</w:t>
      </w:r>
      <w:r w:rsidR="00810E9F">
        <w:rPr>
          <w:sz w:val="24"/>
          <w:szCs w:val="24"/>
          <w:lang w:val="en-GB"/>
        </w:rPr>
        <w:t xml:space="preserve"> </w:t>
      </w:r>
      <w:r w:rsidR="005D1B51" w:rsidRPr="00D9232D">
        <w:rPr>
          <w:sz w:val="24"/>
          <w:szCs w:val="24"/>
          <w:lang w:val="en-GB"/>
        </w:rPr>
        <w:t xml:space="preserve">(i.e., ≥ 2 hours/day) </w:t>
      </w:r>
      <w:r w:rsidR="00E44EE8" w:rsidRPr="00D9232D">
        <w:rPr>
          <w:sz w:val="24"/>
          <w:szCs w:val="24"/>
          <w:lang w:val="en-GB"/>
        </w:rPr>
        <w:t xml:space="preserve">in adolescents </w:t>
      </w:r>
      <w:r w:rsidR="005D1B51" w:rsidRPr="00D9232D">
        <w:rPr>
          <w:sz w:val="24"/>
          <w:szCs w:val="24"/>
          <w:lang w:val="en-GB"/>
        </w:rPr>
        <w:t xml:space="preserve">associated with significantly higher odds for elevated blood pressure compared to light </w:t>
      </w:r>
      <w:r w:rsidR="00D9232D">
        <w:rPr>
          <w:sz w:val="24"/>
          <w:szCs w:val="24"/>
          <w:lang w:val="en-GB"/>
        </w:rPr>
        <w:t>Internet</w:t>
      </w:r>
      <w:r w:rsidR="005D1B51" w:rsidRPr="00D9232D">
        <w:rPr>
          <w:sz w:val="24"/>
          <w:szCs w:val="24"/>
          <w:lang w:val="en-GB"/>
        </w:rPr>
        <w:t xml:space="preserve"> users</w:t>
      </w:r>
      <w:r w:rsidR="00E9107F">
        <w:rPr>
          <w:sz w:val="24"/>
          <w:szCs w:val="24"/>
          <w:lang w:val="en-GB"/>
        </w:rPr>
        <w:t xml:space="preserve"> </w:t>
      </w:r>
      <w:r w:rsidR="005D1B51" w:rsidRPr="00D9232D">
        <w:rPr>
          <w:sz w:val="24"/>
          <w:szCs w:val="24"/>
          <w:lang w:val="en-GB"/>
        </w:rPr>
        <w:fldChar w:fldCharType="begin" w:fldLock="1"/>
      </w:r>
      <w:r w:rsidR="00E9107F">
        <w:rPr>
          <w:sz w:val="24"/>
          <w:szCs w:val="24"/>
          <w:lang w:val="en-GB"/>
        </w:rPr>
        <w:instrText>ADDIN CSL_CITATION {"citationItems":[{"id":"ITEM-1","itemData":{"DOI":"10.1177/1059840514556772","ISSN":"15468364","PMID":"25377931","abstract":"Internet use is nearly ubiquitous among adolescents. Growing evidence suggests heavy Internet use negatively impacts health, yet the relationship between time spent on the Internet and adolescent blood pressure (BP) is unknown. We examined the association between Internet use and elevated BP in a racially diverse cross-sectional sample of 331 healthy adolescents (ages 14-17 years). Heavy Internet use was defined as ≥ 2 hr/day, moderate use as &lt;2 hr/day and ≥ 5 days/week, and light use as &lt;2 hr/day and ≤ 4 days/week. Elevated BP was defined as systolic or diastolic BP ≥ 90th percentile. Heavy Internet users had statistically significantly higher odds of elevated BP compared to light Internet users. School nurses can play an important role in preventing high BP through assessment of BP and other health behaviors including Internet use, and health teaching to individuals, student groups, faculty, and parents to increase awareness of the relationship between Internet use and health.","author":[{"dropping-particle":"","family":"Cassidy-Bushrow","given":"Andrea E.","non-dropping-particle":"","parse-names":false,"suffix":""},{"dropping-particle":"","family":"Johnson","given":"Dayna A.","non-dropping-particle":"","parse-names":false,"suffix":""},{"dropping-particle":"","family":"Peters","given":"Rosalind M.","non-dropping-particle":"","parse-names":false,"suffix":""},{"dropping-particle":"","family":"Burmeister","given":"Charlotte","non-dropping-particle":"","parse-names":false,"suffix":""},{"dropping-particle":"","family":"Joseph","given":"Christine L.M.","non-dropping-particle":"","parse-names":false,"suffix":""}],"container-title":"Journal of School Nursing","id":"ITEM-1","issue":"5","issued":{"date-parts":[["2015"]]},"page":"374-384","title":"Time Spent on the Internet and Adolescent Blood Pressure","type":"article-journal","volume":"31"},"uris":["http://www.mendeley.com/documents/?uuid=e8781b18-050d-4919-be3a-14a4b897e1e4"]}],"mendeley":{"formattedCitation":"[8]","plainTextFormattedCitation":"[8]","previouslyFormattedCitation":"[8]"},"properties":{"noteIndex":0},"schema":"https://github.com/citation-style-language/schema/raw/master/csl-citation.json"}</w:instrText>
      </w:r>
      <w:r w:rsidR="005D1B51" w:rsidRPr="00D9232D">
        <w:rPr>
          <w:sz w:val="24"/>
          <w:szCs w:val="24"/>
          <w:lang w:val="en-GB"/>
        </w:rPr>
        <w:fldChar w:fldCharType="separate"/>
      </w:r>
      <w:r w:rsidR="004E289D" w:rsidRPr="004E289D">
        <w:rPr>
          <w:noProof/>
          <w:sz w:val="24"/>
          <w:szCs w:val="24"/>
          <w:lang w:val="en-GB"/>
        </w:rPr>
        <w:t>[8]</w:t>
      </w:r>
      <w:r w:rsidR="005D1B51" w:rsidRPr="00D9232D">
        <w:rPr>
          <w:sz w:val="24"/>
          <w:szCs w:val="24"/>
          <w:lang w:val="en-GB"/>
        </w:rPr>
        <w:fldChar w:fldCharType="end"/>
      </w:r>
      <w:r w:rsidR="00E9107F">
        <w:rPr>
          <w:sz w:val="24"/>
          <w:szCs w:val="24"/>
          <w:lang w:val="en-GB"/>
        </w:rPr>
        <w:t>.</w:t>
      </w:r>
      <w:r w:rsidR="005D1B51" w:rsidRPr="00D9232D">
        <w:rPr>
          <w:sz w:val="24"/>
          <w:szCs w:val="24"/>
          <w:lang w:val="en-GB"/>
        </w:rPr>
        <w:t xml:space="preserve"> Furthermore,</w:t>
      </w:r>
      <w:r w:rsidR="00E44EE8" w:rsidRPr="00D9232D">
        <w:rPr>
          <w:sz w:val="24"/>
          <w:szCs w:val="24"/>
          <w:lang w:val="en-GB"/>
        </w:rPr>
        <w:t xml:space="preserve"> </w:t>
      </w:r>
      <w:r w:rsidR="00D9232D">
        <w:rPr>
          <w:sz w:val="24"/>
          <w:szCs w:val="24"/>
          <w:lang w:val="en-GB"/>
        </w:rPr>
        <w:t>Internet</w:t>
      </w:r>
      <w:r w:rsidR="007915E3" w:rsidRPr="00D9232D">
        <w:rPr>
          <w:sz w:val="24"/>
          <w:szCs w:val="24"/>
          <w:lang w:val="en-GB"/>
        </w:rPr>
        <w:t xml:space="preserve"> </w:t>
      </w:r>
      <w:r w:rsidR="00810E9F">
        <w:rPr>
          <w:sz w:val="24"/>
          <w:szCs w:val="24"/>
          <w:lang w:val="en-GB"/>
        </w:rPr>
        <w:t xml:space="preserve">use </w:t>
      </w:r>
      <w:r w:rsidR="00CC2C8E">
        <w:rPr>
          <w:sz w:val="24"/>
          <w:szCs w:val="24"/>
          <w:lang w:val="en-GB"/>
        </w:rPr>
        <w:t xml:space="preserve">for </w:t>
      </w:r>
      <w:r w:rsidR="007915E3" w:rsidRPr="00D9232D">
        <w:rPr>
          <w:sz w:val="24"/>
          <w:szCs w:val="24"/>
          <w:lang w:val="en-GB"/>
        </w:rPr>
        <w:t>more than 2 hours at weekends was the only explanatory variable remaining for overweight after 2-years follow-up</w:t>
      </w:r>
      <w:r w:rsidR="00E9107F">
        <w:rPr>
          <w:sz w:val="24"/>
          <w:szCs w:val="24"/>
          <w:lang w:val="en-GB"/>
        </w:rPr>
        <w:t xml:space="preserve"> </w:t>
      </w:r>
      <w:r w:rsidR="007915E3" w:rsidRPr="00D9232D">
        <w:rPr>
          <w:sz w:val="24"/>
          <w:szCs w:val="24"/>
          <w:lang w:val="en-GB"/>
        </w:rPr>
        <w:fldChar w:fldCharType="begin" w:fldLock="1"/>
      </w:r>
      <w:r w:rsidR="00E9107F">
        <w:rPr>
          <w:sz w:val="24"/>
          <w:szCs w:val="24"/>
          <w:lang w:val="en-GB"/>
        </w:rPr>
        <w:instrText>ADDIN CSL_CITATION {"citationItems":[{"id":"ITEM-1","itemData":{"DOI":"10.1038/ijo.2015.146","ISSN":"14765497","PMID":"26248661","abstract":"Objective:This longitudinal study aimed to investigate the characteristics and predictive risk factors of overweight among adolescents. The hypothesis was that baseline overweight predicted most overweight over time compared to other factors, especially excessive internet use.Subjects:A sample of 621 youths were followed from age 14 (T0 Spring 2012) to age 16 (T1 Spring 2014) in Switzerland. Participants were divided into two groups according to their weight at the final assessment: overweight and non-overweight. At T0, participants reported demographic, health, substance use and internet use data. A logistic regression was performed to assess the explanatory variables of overweight at T1. Data are presented as adjusted odds ratios (aORs) with 95% confidence interval.Results:The 2-year evolution showed a net BMI increase of 4.8%. Overweight adolescents were significantly more likely to be male, to live in an urban area, to be on a diet and to report using the internet more than 2 h per day on weekends at T0. However, with the addition of baseline overweight, only the excessive use of internet on weekends remained as an explanatory variable. An adolescent who was already overweight at T0 had a more than 20-fold risk (aOR 21.04) of being overweight 2 years later. Moreover, among adolescents becoming overweight between T0 and T1, internet use did not show any significant effect.Conclusion:The risk of being overweight is mostly influenced by weight status at baseline compared to excessive internet use. Thus, our results do not confirm the negative effect of internet on healthier activities. Internet use could at most reinforce an already existing risk of being overweight.","author":[{"dropping-particle":"","family":"Barrense-Dias","given":"Y.","non-dropping-particle":"","parse-names":false,"suffix":""},{"dropping-particle":"","family":"Berchtold","given":"A.","non-dropping-particle":"","parse-names":false,"suffix":""},{"dropping-particle":"","family":"Akre","given":"C.","non-dropping-particle":"","parse-names":false,"suffix":""},{"dropping-particle":"","family":"Surís","given":"J. C.","non-dropping-particle":"","parse-names":false,"suffix":""}],"container-title":"International Journal of Obesity","id":"ITEM-1","issue":"1","issued":{"date-parts":[["2016"]]},"page":"45-50","title":"The relation between internet use and overweight among adolescents: A longitudinal study in Switzerland","type":"article-journal","volume":"40"},"uris":["http://www.mendeley.com/documents/?uuid=333835e1-502e-4e14-9c1a-3df068476558"]}],"mendeley":{"formattedCitation":"[9]","plainTextFormattedCitation":"[9]","previouslyFormattedCitation":"[9]"},"properties":{"noteIndex":0},"schema":"https://github.com/citation-style-language/schema/raw/master/csl-citation.json"}</w:instrText>
      </w:r>
      <w:r w:rsidR="007915E3" w:rsidRPr="00D9232D">
        <w:rPr>
          <w:sz w:val="24"/>
          <w:szCs w:val="24"/>
          <w:lang w:val="en-GB"/>
        </w:rPr>
        <w:fldChar w:fldCharType="separate"/>
      </w:r>
      <w:r w:rsidR="004E289D" w:rsidRPr="004E289D">
        <w:rPr>
          <w:noProof/>
          <w:sz w:val="24"/>
          <w:szCs w:val="24"/>
          <w:lang w:val="en-GB"/>
        </w:rPr>
        <w:t>[9]</w:t>
      </w:r>
      <w:r w:rsidR="007915E3" w:rsidRPr="00D9232D">
        <w:rPr>
          <w:sz w:val="24"/>
          <w:szCs w:val="24"/>
          <w:lang w:val="en-GB"/>
        </w:rPr>
        <w:fldChar w:fldCharType="end"/>
      </w:r>
      <w:r w:rsidR="00E9107F">
        <w:rPr>
          <w:sz w:val="24"/>
          <w:szCs w:val="24"/>
          <w:lang w:val="en-GB"/>
        </w:rPr>
        <w:t>.</w:t>
      </w:r>
      <w:r w:rsidR="007915E3" w:rsidRPr="00D9232D">
        <w:rPr>
          <w:sz w:val="24"/>
          <w:szCs w:val="24"/>
          <w:lang w:val="en-GB"/>
        </w:rPr>
        <w:t xml:space="preserve"> </w:t>
      </w:r>
      <w:bookmarkEnd w:id="4"/>
      <w:r w:rsidR="00412EC1" w:rsidRPr="00D9232D">
        <w:rPr>
          <w:sz w:val="24"/>
          <w:szCs w:val="24"/>
          <w:lang w:val="en-GB"/>
        </w:rPr>
        <w:t xml:space="preserve">Moreover, </w:t>
      </w:r>
      <w:r w:rsidR="00D9232D">
        <w:rPr>
          <w:sz w:val="24"/>
          <w:szCs w:val="24"/>
          <w:lang w:val="en-GB"/>
        </w:rPr>
        <w:t>Internet</w:t>
      </w:r>
      <w:r w:rsidR="00412EC1" w:rsidRPr="00D9232D">
        <w:rPr>
          <w:sz w:val="24"/>
          <w:szCs w:val="24"/>
          <w:lang w:val="en-GB"/>
        </w:rPr>
        <w:t xml:space="preserve"> </w:t>
      </w:r>
      <w:r w:rsidR="00810E9F">
        <w:rPr>
          <w:sz w:val="24"/>
          <w:szCs w:val="24"/>
          <w:lang w:val="en-GB"/>
        </w:rPr>
        <w:t xml:space="preserve">use </w:t>
      </w:r>
      <w:r w:rsidR="00412EC1" w:rsidRPr="00D9232D">
        <w:rPr>
          <w:sz w:val="24"/>
          <w:szCs w:val="24"/>
          <w:lang w:val="en-GB"/>
        </w:rPr>
        <w:t xml:space="preserve">for non-study reasons </w:t>
      </w:r>
      <w:r w:rsidR="009516D8">
        <w:rPr>
          <w:sz w:val="24"/>
          <w:szCs w:val="24"/>
          <w:lang w:val="en-GB"/>
        </w:rPr>
        <w:t>has been identified as</w:t>
      </w:r>
      <w:r w:rsidR="00412EC1" w:rsidRPr="00D9232D">
        <w:rPr>
          <w:sz w:val="24"/>
          <w:szCs w:val="24"/>
          <w:lang w:val="en-GB"/>
        </w:rPr>
        <w:t xml:space="preserve"> an important </w:t>
      </w:r>
      <w:r w:rsidR="00CC2C8E">
        <w:rPr>
          <w:sz w:val="24"/>
          <w:szCs w:val="24"/>
          <w:lang w:val="en-GB"/>
        </w:rPr>
        <w:t xml:space="preserve">reason for increased </w:t>
      </w:r>
      <w:r w:rsidR="00E44EE8" w:rsidRPr="00D9232D">
        <w:rPr>
          <w:sz w:val="24"/>
          <w:szCs w:val="24"/>
          <w:lang w:val="en-GB"/>
        </w:rPr>
        <w:t>sedentary behaviour</w:t>
      </w:r>
      <w:r w:rsidR="00412EC1" w:rsidRPr="00D9232D">
        <w:rPr>
          <w:sz w:val="24"/>
          <w:szCs w:val="24"/>
          <w:lang w:val="en-GB"/>
        </w:rPr>
        <w:t xml:space="preserve"> in European adolescent</w:t>
      </w:r>
      <w:r w:rsidR="00113D95" w:rsidRPr="00D9232D">
        <w:rPr>
          <w:sz w:val="24"/>
          <w:szCs w:val="24"/>
          <w:lang w:val="en-GB"/>
        </w:rPr>
        <w:t xml:space="preserve"> girls</w:t>
      </w:r>
      <w:r w:rsidR="00412EC1" w:rsidRPr="00D9232D">
        <w:rPr>
          <w:sz w:val="24"/>
          <w:szCs w:val="24"/>
          <w:lang w:val="en-GB"/>
        </w:rPr>
        <w:t>, which in turn can favour obesity and other related conditions</w:t>
      </w:r>
      <w:r w:rsidR="00E9107F">
        <w:rPr>
          <w:sz w:val="24"/>
          <w:szCs w:val="24"/>
          <w:lang w:val="en-GB"/>
        </w:rPr>
        <w:t xml:space="preserve"> </w:t>
      </w:r>
      <w:r w:rsidR="00412EC1" w:rsidRPr="00D9232D">
        <w:rPr>
          <w:sz w:val="24"/>
          <w:szCs w:val="24"/>
          <w:lang w:val="en-GB"/>
        </w:rPr>
        <w:fldChar w:fldCharType="begin" w:fldLock="1"/>
      </w:r>
      <w:r w:rsidR="00E9107F">
        <w:rPr>
          <w:sz w:val="24"/>
          <w:szCs w:val="24"/>
          <w:lang w:val="en-GB"/>
        </w:rPr>
        <w:instrText>ADDIN CSL_CITATION {"citationItems":[{"id":"ITEM-1","itemData":{"DOI":"10.1016/j.ypmed.2010.03.013","ISSN":"00917435","PMID":"20359491","abstract":"Objective: To describe sedentary behaviors in adolescents and to examine the influence of media availability on TV viewing. Method: The study assessed 3278 adolescents (1537 males and 1741 females, 12.5-17.5. years) involved in the HELENA study (2007). Adolescents reported hours of TV viewing, computer games, console, internet for study and non-study reasons, and study, as well as availability of TVs, computers and consoles. Results: Time spent in sedentary behaviors was higher during weekends (all . p&lt;0.001). Males spent more hours on TV viewing (for ≥ 15. years at weekends), playing computer games and console games while females spent more time studying and surfing for non-study reasons. During weekdays, one third of adolescents exceeded the screen time guidelines (&gt;2. h/day) based solely on TV viewing, whereas around 60% exceeded it at weekends. Having a TV or a console in the bedroom was associated with higher TV viewing (OR. =2.66; 95% CI 2.23-3.18; and OR. =1.92; 95% CI 1.61-2.28, respectively) whereas the presence of computer reduced it (OR. =0.57; 95% CI 0.48-0.68). Conclusion: Adolescents living in Europe are not meeting media recommendations, especially during weekend. The absence of a TV in the adolescents' bedroom might reduce TV viewing. Further studies are needed to confirm or contrast our findings. © 2010 Elsevier Inc.","author":[{"dropping-particle":"","family":"Rey-López","given":"Juan P.","non-dropping-particle":"","parse-names":false,"suffix":""},{"dropping-particle":"","family":"Vicente-Rodriguez","given":"Germán","non-dropping-particle":"","parse-names":false,"suffix":""},{"dropping-particle":"","family":"Ortega","given":"Francisco B.","non-dropping-particle":"","parse-names":false,"suffix":""},{"dropping-particle":"","family":"Ruiz","given":"Jonatan R.","non-dropping-particle":"","parse-names":false,"suffix":""},{"dropping-particle":"","family":"Martinez-Gómez","given":"David","non-dropping-particle":"","parse-names":false,"suffix":""},{"dropping-particle":"","family":"Henauw","given":"Stefan","non-dropping-particle":"De","parse-names":false,"suffix":""},{"dropping-particle":"","family":"Manios","given":"Yannis","non-dropping-particle":"","parse-names":false,"suffix":""},{"dropping-particle":"","family":"Molnar","given":"Denes","non-dropping-particle":"","parse-names":false,"suffix":""},{"dropping-particle":"","family":"Polito","given":"Angela","non-dropping-particle":"","parse-names":false,"suffix":""},{"dropping-particle":"","family":"Verloigne","given":"Maite","non-dropping-particle":"","parse-names":false,"suffix":""},{"dropping-particle":"","family":"Castillo","given":"Manuel J.","non-dropping-particle":"","parse-names":false,"suffix":""},{"dropping-particle":"","family":"Sjöström","given":"Michael","non-dropping-particle":"","parse-names":false,"suffix":""},{"dropping-particle":"","family":"Bourdeaudhuij","given":"Ilse","non-dropping-particle":"De","parse-names":false,"suffix":""},{"dropping-particle":"","family":"Moreno","given":"Luis A.","non-dropping-particle":"","parse-names":false,"suffix":""}],"container-title":"Preventive Medicine","id":"ITEM-1","issue":"1","issued":{"date-parts":[["2010"]]},"page":"50-55","publisher":"Elsevier Inc.","title":"Sedentary patterns and media availability in European adolescents: The HELENA study","type":"article-journal","volume":"51"},"uris":["http://www.mendeley.com/documents/?uuid=a6dfaa07-8282-4a27-9b35-64f4a10ed1c6"]}],"mendeley":{"formattedCitation":"[10]","plainTextFormattedCitation":"[10]","previouslyFormattedCitation":"[10]"},"properties":{"noteIndex":0},"schema":"https://github.com/citation-style-language/schema/raw/master/csl-citation.json"}</w:instrText>
      </w:r>
      <w:r w:rsidR="00412EC1" w:rsidRPr="00D9232D">
        <w:rPr>
          <w:sz w:val="24"/>
          <w:szCs w:val="24"/>
          <w:lang w:val="en-GB"/>
        </w:rPr>
        <w:fldChar w:fldCharType="separate"/>
      </w:r>
      <w:r w:rsidR="004E289D" w:rsidRPr="004E289D">
        <w:rPr>
          <w:noProof/>
          <w:sz w:val="24"/>
          <w:szCs w:val="24"/>
          <w:lang w:val="en-GB"/>
        </w:rPr>
        <w:t>[10]</w:t>
      </w:r>
      <w:r w:rsidR="00412EC1" w:rsidRPr="00D9232D">
        <w:rPr>
          <w:sz w:val="24"/>
          <w:szCs w:val="24"/>
          <w:lang w:val="en-GB"/>
        </w:rPr>
        <w:fldChar w:fldCharType="end"/>
      </w:r>
      <w:r w:rsidR="00E9107F">
        <w:rPr>
          <w:sz w:val="24"/>
          <w:szCs w:val="24"/>
          <w:lang w:val="en-GB"/>
        </w:rPr>
        <w:t xml:space="preserve">. </w:t>
      </w:r>
    </w:p>
    <w:p w14:paraId="24596372" w14:textId="35D4CAE5" w:rsidR="00E44EE8" w:rsidRPr="00D9232D" w:rsidRDefault="00E408D0" w:rsidP="004E289D">
      <w:pPr>
        <w:spacing w:line="480" w:lineRule="auto"/>
        <w:rPr>
          <w:sz w:val="24"/>
          <w:szCs w:val="24"/>
          <w:lang w:val="en-GB"/>
        </w:rPr>
      </w:pPr>
      <w:r w:rsidRPr="00D9232D">
        <w:rPr>
          <w:sz w:val="24"/>
          <w:szCs w:val="24"/>
          <w:lang w:val="en-GB"/>
        </w:rPr>
        <w:t xml:space="preserve">Given this background, </w:t>
      </w:r>
      <w:r w:rsidR="00217649" w:rsidRPr="00D9232D">
        <w:rPr>
          <w:sz w:val="24"/>
          <w:szCs w:val="24"/>
          <w:lang w:val="en-GB"/>
        </w:rPr>
        <w:t xml:space="preserve">it seems of </w:t>
      </w:r>
      <w:r w:rsidR="009516D8">
        <w:rPr>
          <w:sz w:val="24"/>
          <w:szCs w:val="24"/>
          <w:lang w:val="en-GB"/>
        </w:rPr>
        <w:t>growing</w:t>
      </w:r>
      <w:r w:rsidR="009516D8" w:rsidRPr="00D9232D">
        <w:rPr>
          <w:sz w:val="24"/>
          <w:szCs w:val="24"/>
          <w:lang w:val="en-GB"/>
        </w:rPr>
        <w:t xml:space="preserve"> </w:t>
      </w:r>
      <w:r w:rsidR="00217649" w:rsidRPr="00D9232D">
        <w:rPr>
          <w:sz w:val="24"/>
          <w:szCs w:val="24"/>
          <w:lang w:val="en-GB"/>
        </w:rPr>
        <w:t xml:space="preserve">importance to </w:t>
      </w:r>
      <w:r w:rsidR="00476412" w:rsidRPr="00D9232D">
        <w:rPr>
          <w:sz w:val="24"/>
          <w:szCs w:val="24"/>
          <w:lang w:val="en-GB"/>
        </w:rPr>
        <w:t>investigate</w:t>
      </w:r>
      <w:r w:rsidR="007A554F" w:rsidRPr="00D9232D">
        <w:rPr>
          <w:sz w:val="24"/>
          <w:szCs w:val="24"/>
          <w:lang w:val="en-GB"/>
        </w:rPr>
        <w:t xml:space="preserve"> which factors</w:t>
      </w:r>
      <w:r w:rsidR="00217649" w:rsidRPr="00D9232D">
        <w:rPr>
          <w:sz w:val="24"/>
          <w:szCs w:val="24"/>
          <w:lang w:val="en-GB"/>
        </w:rPr>
        <w:t xml:space="preserve"> might lead to heavy </w:t>
      </w:r>
      <w:r w:rsidR="00D9232D">
        <w:rPr>
          <w:sz w:val="24"/>
          <w:szCs w:val="24"/>
          <w:lang w:val="en-GB"/>
        </w:rPr>
        <w:t>Internet</w:t>
      </w:r>
      <w:r w:rsidR="00476412" w:rsidRPr="00D9232D">
        <w:rPr>
          <w:sz w:val="24"/>
          <w:szCs w:val="24"/>
          <w:lang w:val="en-GB"/>
        </w:rPr>
        <w:t xml:space="preserve"> </w:t>
      </w:r>
      <w:r w:rsidR="00810E9F">
        <w:rPr>
          <w:sz w:val="24"/>
          <w:szCs w:val="24"/>
          <w:lang w:val="en-GB"/>
        </w:rPr>
        <w:t xml:space="preserve">use </w:t>
      </w:r>
      <w:r w:rsidR="00432114" w:rsidRPr="00D9232D">
        <w:rPr>
          <w:sz w:val="24"/>
          <w:szCs w:val="24"/>
          <w:lang w:val="en-GB"/>
        </w:rPr>
        <w:t>in different domains</w:t>
      </w:r>
      <w:r w:rsidR="00476412" w:rsidRPr="00D9232D">
        <w:rPr>
          <w:sz w:val="24"/>
          <w:szCs w:val="24"/>
          <w:lang w:val="en-GB"/>
        </w:rPr>
        <w:t xml:space="preserve">. </w:t>
      </w:r>
      <w:r w:rsidR="00FC2BBA" w:rsidRPr="00D9232D">
        <w:rPr>
          <w:sz w:val="24"/>
          <w:szCs w:val="24"/>
          <w:lang w:val="en-GB"/>
        </w:rPr>
        <w:t xml:space="preserve">One potential variable that deserves closer examination is age of </w:t>
      </w:r>
      <w:r w:rsidR="008F5F4C">
        <w:rPr>
          <w:sz w:val="24"/>
          <w:szCs w:val="24"/>
          <w:lang w:val="en-GB"/>
        </w:rPr>
        <w:t>first exposure</w:t>
      </w:r>
      <w:r w:rsidR="00FC2BBA" w:rsidRPr="00D9232D">
        <w:rPr>
          <w:sz w:val="24"/>
          <w:szCs w:val="24"/>
          <w:lang w:val="en-GB"/>
        </w:rPr>
        <w:t xml:space="preserve">, </w:t>
      </w:r>
      <w:r w:rsidR="00D4115E" w:rsidRPr="00D9232D">
        <w:rPr>
          <w:sz w:val="24"/>
          <w:szCs w:val="24"/>
          <w:lang w:val="en-GB"/>
        </w:rPr>
        <w:t xml:space="preserve">since </w:t>
      </w:r>
      <w:r w:rsidR="008F5F4C">
        <w:rPr>
          <w:sz w:val="24"/>
          <w:szCs w:val="24"/>
          <w:lang w:val="en-GB"/>
        </w:rPr>
        <w:t>age of initiation</w:t>
      </w:r>
      <w:r w:rsidR="00C11B78">
        <w:rPr>
          <w:sz w:val="24"/>
          <w:szCs w:val="24"/>
          <w:lang w:val="en-GB"/>
        </w:rPr>
        <w:t xml:space="preserve"> </w:t>
      </w:r>
      <w:r w:rsidR="00E15881">
        <w:rPr>
          <w:sz w:val="24"/>
          <w:szCs w:val="24"/>
          <w:lang w:val="en-GB"/>
        </w:rPr>
        <w:t xml:space="preserve">has </w:t>
      </w:r>
      <w:r w:rsidR="00FC2BBA" w:rsidRPr="00D9232D">
        <w:rPr>
          <w:sz w:val="24"/>
          <w:szCs w:val="24"/>
          <w:lang w:val="en-GB"/>
        </w:rPr>
        <w:t>been associated with</w:t>
      </w:r>
      <w:r w:rsidR="00D4115E" w:rsidRPr="00D9232D">
        <w:rPr>
          <w:sz w:val="24"/>
          <w:szCs w:val="24"/>
          <w:lang w:val="en-GB"/>
        </w:rPr>
        <w:t xml:space="preserve"> problematic use of</w:t>
      </w:r>
      <w:r w:rsidR="00FC2BBA" w:rsidRPr="00D9232D">
        <w:rPr>
          <w:sz w:val="24"/>
          <w:szCs w:val="24"/>
          <w:lang w:val="en-GB"/>
        </w:rPr>
        <w:t xml:space="preserve"> </w:t>
      </w:r>
      <w:r w:rsidR="00D9232D">
        <w:rPr>
          <w:sz w:val="24"/>
          <w:szCs w:val="24"/>
          <w:lang w:val="en-GB"/>
        </w:rPr>
        <w:t>Internet</w:t>
      </w:r>
      <w:r w:rsidR="00FC2BBA" w:rsidRPr="00D9232D">
        <w:rPr>
          <w:sz w:val="24"/>
          <w:szCs w:val="24"/>
          <w:lang w:val="en-GB"/>
        </w:rPr>
        <w:t xml:space="preserve"> </w:t>
      </w:r>
      <w:r w:rsidR="00D4115E" w:rsidRPr="00D9232D">
        <w:rPr>
          <w:sz w:val="24"/>
          <w:szCs w:val="24"/>
          <w:lang w:val="en-GB"/>
        </w:rPr>
        <w:t xml:space="preserve">in elementary school </w:t>
      </w:r>
      <w:r w:rsidR="00C11B78">
        <w:rPr>
          <w:sz w:val="24"/>
          <w:szCs w:val="24"/>
          <w:lang w:val="en-GB"/>
        </w:rPr>
        <w:t xml:space="preserve">children </w:t>
      </w:r>
      <w:r w:rsidR="00D4115E" w:rsidRPr="00D9232D">
        <w:rPr>
          <w:sz w:val="24"/>
          <w:szCs w:val="24"/>
          <w:lang w:val="en-GB"/>
        </w:rPr>
        <w:t xml:space="preserve">and </w:t>
      </w:r>
      <w:r w:rsidR="00D9232D">
        <w:rPr>
          <w:sz w:val="24"/>
          <w:szCs w:val="24"/>
          <w:lang w:val="en-GB"/>
        </w:rPr>
        <w:t>Internet</w:t>
      </w:r>
      <w:r w:rsidR="00D4115E" w:rsidRPr="00D9232D">
        <w:rPr>
          <w:sz w:val="24"/>
          <w:szCs w:val="24"/>
          <w:lang w:val="en-GB"/>
        </w:rPr>
        <w:t xml:space="preserve"> </w:t>
      </w:r>
      <w:r w:rsidR="00FC2BBA" w:rsidRPr="00D9232D">
        <w:rPr>
          <w:sz w:val="24"/>
          <w:szCs w:val="24"/>
          <w:lang w:val="en-GB"/>
        </w:rPr>
        <w:t>gaming disorder</w:t>
      </w:r>
      <w:r w:rsidR="00E9107F">
        <w:rPr>
          <w:sz w:val="24"/>
          <w:szCs w:val="24"/>
          <w:lang w:val="en-GB"/>
        </w:rPr>
        <w:t xml:space="preserve"> </w:t>
      </w:r>
      <w:r w:rsidR="00D4115E" w:rsidRPr="00D9232D">
        <w:rPr>
          <w:sz w:val="24"/>
          <w:szCs w:val="24"/>
          <w:lang w:val="en-GB"/>
        </w:rPr>
        <w:fldChar w:fldCharType="begin" w:fldLock="1"/>
      </w:r>
      <w:r w:rsidR="009D739B">
        <w:rPr>
          <w:sz w:val="24"/>
          <w:szCs w:val="24"/>
          <w:lang w:val="en-GB"/>
        </w:rPr>
        <w:instrText>ADDIN CSL_CITATION {"citationItems":[{"id":"ITEM-1","itemData":{"DOI":"10.1089/cyber.2017.0011","ISSN":"21522723","PMID":"28622030","abstract":"The link between early initiation and problematic use has been observed for substance use disorders; however, this link has not been as clearly established for Internet gaming disorder (IGD). Available studies indicate that individufile:///C:/Users/rlope/Desktop/PISA/suicidal ideation.pdfals who initiate Internet use at younger ages exhibit an increased risk for general Internet addiction. Prior research also suggests unique cognitive processes in online gaming, such that an individual's overall sense of self-worth can become contingent upon self-esteem derived from the gaming environment. The current research examines the mediational role of self-esteem variables in the relationship between age of initiation and IGD symptomatology. Data were analyzed from 1,044 adult participants (mean age = 30.90; standard deviation: 9.28; 35.0% female) recruited from Amazon Mechanical Turk who reported playing massively multiplayer online role-playing games. Age of gaming initiation is directly linked to IGD, as earlier age predicted overall IGD symptom severity (b = -0.10, 95% confidence interval [CI: -0.17, -0.03]), controlling for self-esteem factors. In addition, self-esteem factors emerged as mediators of the effect, where global self-esteem served as a protective factor (b = -0.05, 95% CI: [-0.07, -0.02]) and high gaming-contingent self-worth (GCSW; b = -0.10, 95% CI: [-0.15, -0.04]) was associated with more negative outcomes. Earlier age of gaming initiation is associated with IGD symptomatology. Although risks of screen time are often referred to in terms of physical consequences, the present study provides support regarding the inclusion of self-esteem factors in the link between early use and IGD.","author":[{"dropping-particle":"","family":"Beard","given":"Charlotte L.","non-dropping-particle":"","parse-names":false,"suffix":""},{"dropping-particle":"","family":"Haas","given":"Amie L.","non-dropping-particle":"","parse-names":false,"suffix":""},{"dropping-particle":"","family":"Wickham","given":"Robert E.","non-dropping-particle":"","parse-names":false,"suffix":""},{"dropping-particle":"","family":"Stavropoulos","given":"Vasileios","non-dropping-particle":"","parse-names":false,"suffix":""}],"container-title":"Cyberpsychology, Behavior, and Social Networking","id":"ITEM-1","issue":"6","issued":{"date-parts":[["2017"]]},"page":"397-401","title":"Age of Initiation and Internet Gaming Disorder: The Role of Self-Esteem","type":"article-journal","volume":"20"},"uris":["http://www.mendeley.com/documents/?uuid=5bb79162-b33d-49f5-8806-d627e87aad4c"]},{"id":"ITEM-2","itemData":{"DOI":"10.1080/1369118X.2019.1645192","ISSN":"14684462","abstract":"This study develops a new version of the problematic Internet use scale suitable for senior elementary school students. It includes six subscales: time management, compulsive Internet use, emotion adjustment influence, interpersonal and academic influence, preferred online social interaction, and daily life influence. This research utilized the survey method to understand the relationship between student backgrounds and their Internet use behaviors, and problematic Internet use. A total of 775 elementary school fifth and sixth graders from northern Taiwan were sampled based on the stratified random sampling method. There were 763 valid surveys. The results indicated that the factors of gender, parents’ attitudes towards Internet use, the time when subjects first started to use the Internet, number of hours spent getting online each time on weekdays, number of types of devices used to go online, and Internet activity preferences are significant. Boys have more serious problematic Internet use than girls. Different Internet activities present different risks of triggering problematic Internet use for male and female students. Students whose parents allow them to use the Internet without intervention have more serious problematic Internet use. Students exhibit more serious problematic internet use if they start using the Internet before beginning elementary school. When students use the Internet more and can go online using more types of devices, they tend to have more serious problematic Internet use. This study finds that students preferring Internet activities for recreational entertainment and social interaction have more serious problematic Internet use than students preferring Internet activities as learning tools.","author":[{"dropping-particle":"","family":"Wang","given":"Tzu Hua","non-dropping-particle":"","parse-names":false,"suffix":""},{"dropping-particle":"","family":"Cheng","given":"Hsing Yi","non-dropping-particle":"","parse-names":false,"suffix":""}],"container-title":"Information Communication and Society","id":"ITEM-2","issue":"0","issued":{"date-parts":[["2019"]]},"page":"1-22","publisher":"Taylor &amp; Francis","title":"Problematic Internet use among elementary school students: prevalence and risk factors","type":"article-journal","volume":"0"},"uris":["http://www.mendeley.com/documents/?uuid=896196e3-1895-448f-9bd6-509ed9438c83"]}],"mendeley":{"formattedCitation":"[11, 12]","plainTextFormattedCitation":"[11, 12]","previouslyFormattedCitation":"[11, 12]"},"properties":{"noteIndex":0},"schema":"https://github.com/citation-style-language/schema/raw/master/csl-citation.json"}</w:instrText>
      </w:r>
      <w:r w:rsidR="00D4115E" w:rsidRPr="00D9232D">
        <w:rPr>
          <w:sz w:val="24"/>
          <w:szCs w:val="24"/>
          <w:lang w:val="en-GB"/>
        </w:rPr>
        <w:fldChar w:fldCharType="separate"/>
      </w:r>
      <w:r w:rsidR="00846B1A" w:rsidRPr="00846B1A">
        <w:rPr>
          <w:noProof/>
          <w:sz w:val="24"/>
          <w:szCs w:val="24"/>
          <w:lang w:val="en-GB"/>
        </w:rPr>
        <w:t>[11, 12]</w:t>
      </w:r>
      <w:r w:rsidR="00D4115E" w:rsidRPr="00D9232D">
        <w:rPr>
          <w:sz w:val="24"/>
          <w:szCs w:val="24"/>
          <w:lang w:val="en-GB"/>
        </w:rPr>
        <w:fldChar w:fldCharType="end"/>
      </w:r>
      <w:r w:rsidR="00E9107F">
        <w:rPr>
          <w:sz w:val="24"/>
          <w:szCs w:val="24"/>
          <w:lang w:val="en-GB"/>
        </w:rPr>
        <w:t>.</w:t>
      </w:r>
      <w:r w:rsidR="0001552C" w:rsidRPr="00D9232D">
        <w:rPr>
          <w:sz w:val="24"/>
          <w:szCs w:val="24"/>
          <w:lang w:val="en-GB"/>
        </w:rPr>
        <w:t xml:space="preserve"> </w:t>
      </w:r>
      <w:r w:rsidR="009516D8">
        <w:rPr>
          <w:sz w:val="24"/>
          <w:szCs w:val="24"/>
          <w:lang w:val="en-GB"/>
        </w:rPr>
        <w:t>Currently however</w:t>
      </w:r>
      <w:r w:rsidR="0051681D" w:rsidRPr="00D9232D">
        <w:rPr>
          <w:sz w:val="24"/>
          <w:szCs w:val="24"/>
          <w:lang w:val="en-GB"/>
        </w:rPr>
        <w:t>, t</w:t>
      </w:r>
      <w:r w:rsidR="00C76831" w:rsidRPr="00D9232D">
        <w:rPr>
          <w:sz w:val="24"/>
          <w:szCs w:val="24"/>
          <w:lang w:val="en-GB"/>
        </w:rPr>
        <w:t xml:space="preserve">here is little evidence </w:t>
      </w:r>
      <w:r w:rsidR="007A554F" w:rsidRPr="00D9232D">
        <w:rPr>
          <w:sz w:val="24"/>
          <w:szCs w:val="24"/>
          <w:lang w:val="en-GB"/>
        </w:rPr>
        <w:t xml:space="preserve">concerning whether an early </w:t>
      </w:r>
      <w:r w:rsidR="00442540">
        <w:rPr>
          <w:sz w:val="24"/>
          <w:szCs w:val="24"/>
          <w:lang w:val="en-GB"/>
        </w:rPr>
        <w:t>exposure</w:t>
      </w:r>
      <w:r w:rsidR="00442540" w:rsidRPr="00D9232D">
        <w:rPr>
          <w:sz w:val="24"/>
          <w:szCs w:val="24"/>
          <w:lang w:val="en-GB"/>
        </w:rPr>
        <w:t xml:space="preserve"> </w:t>
      </w:r>
      <w:r w:rsidR="007A554F" w:rsidRPr="00D9232D">
        <w:rPr>
          <w:sz w:val="24"/>
          <w:szCs w:val="24"/>
          <w:lang w:val="en-GB"/>
        </w:rPr>
        <w:t xml:space="preserve">might </w:t>
      </w:r>
      <w:r w:rsidR="00C11B78">
        <w:rPr>
          <w:sz w:val="24"/>
          <w:szCs w:val="24"/>
          <w:lang w:val="en-GB"/>
        </w:rPr>
        <w:t xml:space="preserve">be associated with </w:t>
      </w:r>
      <w:r w:rsidR="007A554F" w:rsidRPr="00D9232D">
        <w:rPr>
          <w:sz w:val="24"/>
          <w:szCs w:val="24"/>
          <w:lang w:val="en-GB"/>
        </w:rPr>
        <w:t xml:space="preserve">heavy </w:t>
      </w:r>
      <w:r w:rsidR="00D9232D">
        <w:rPr>
          <w:sz w:val="24"/>
          <w:szCs w:val="24"/>
          <w:lang w:val="en-GB"/>
        </w:rPr>
        <w:t>Internet</w:t>
      </w:r>
      <w:r w:rsidR="007A554F" w:rsidRPr="00D9232D">
        <w:rPr>
          <w:sz w:val="24"/>
          <w:szCs w:val="24"/>
          <w:lang w:val="en-GB"/>
        </w:rPr>
        <w:t xml:space="preserve"> </w:t>
      </w:r>
      <w:r w:rsidR="00810E9F">
        <w:rPr>
          <w:sz w:val="24"/>
          <w:szCs w:val="24"/>
          <w:lang w:val="en-GB"/>
        </w:rPr>
        <w:t xml:space="preserve">use </w:t>
      </w:r>
      <w:r w:rsidR="007A554F" w:rsidRPr="00D9232D">
        <w:rPr>
          <w:sz w:val="24"/>
          <w:szCs w:val="24"/>
          <w:lang w:val="en-GB"/>
        </w:rPr>
        <w:t>in adolescence</w:t>
      </w:r>
      <w:r w:rsidR="009A3836">
        <w:rPr>
          <w:sz w:val="24"/>
          <w:szCs w:val="24"/>
          <w:lang w:val="en-GB"/>
        </w:rPr>
        <w:t xml:space="preserve">. Indeed, there is a lack of studies examining the consistence of the </w:t>
      </w:r>
      <w:proofErr w:type="gramStart"/>
      <w:r w:rsidR="009A3836">
        <w:rPr>
          <w:sz w:val="24"/>
          <w:szCs w:val="24"/>
          <w:lang w:val="en-GB"/>
        </w:rPr>
        <w:t>aforementioned association</w:t>
      </w:r>
      <w:proofErr w:type="gramEnd"/>
      <w:r w:rsidR="009A3836">
        <w:rPr>
          <w:sz w:val="24"/>
          <w:szCs w:val="24"/>
          <w:lang w:val="en-GB"/>
        </w:rPr>
        <w:t xml:space="preserve"> in different domains in large samples worldwide</w:t>
      </w:r>
      <w:r w:rsidR="007A554F" w:rsidRPr="00D9232D">
        <w:rPr>
          <w:sz w:val="24"/>
          <w:szCs w:val="24"/>
          <w:lang w:val="en-GB"/>
        </w:rPr>
        <w:t xml:space="preserve">. Therefore, this study aims </w:t>
      </w:r>
      <w:r w:rsidR="00C11B78">
        <w:rPr>
          <w:sz w:val="24"/>
          <w:szCs w:val="24"/>
          <w:lang w:val="en-GB"/>
        </w:rPr>
        <w:t xml:space="preserve">to investigate </w:t>
      </w:r>
      <w:r w:rsidR="0051681D" w:rsidRPr="00D9232D">
        <w:rPr>
          <w:sz w:val="24"/>
          <w:szCs w:val="24"/>
          <w:lang w:val="en-GB"/>
        </w:rPr>
        <w:t>the association</w:t>
      </w:r>
      <w:r w:rsidR="00C11B78">
        <w:rPr>
          <w:sz w:val="24"/>
          <w:szCs w:val="24"/>
          <w:lang w:val="en-GB"/>
        </w:rPr>
        <w:t xml:space="preserve"> between </w:t>
      </w:r>
      <w:r w:rsidR="00442540">
        <w:rPr>
          <w:sz w:val="24"/>
          <w:szCs w:val="24"/>
          <w:lang w:val="en-GB"/>
        </w:rPr>
        <w:t>age of first exposure</w:t>
      </w:r>
      <w:r w:rsidR="006E2991">
        <w:rPr>
          <w:sz w:val="24"/>
          <w:szCs w:val="24"/>
          <w:lang w:val="en-GB"/>
        </w:rPr>
        <w:t xml:space="preserve"> and heavy Internet </w:t>
      </w:r>
      <w:r w:rsidR="00810E9F">
        <w:rPr>
          <w:sz w:val="24"/>
          <w:szCs w:val="24"/>
          <w:lang w:val="en-GB"/>
        </w:rPr>
        <w:t xml:space="preserve">use </w:t>
      </w:r>
      <w:r w:rsidR="006E2991">
        <w:rPr>
          <w:sz w:val="24"/>
          <w:szCs w:val="24"/>
          <w:lang w:val="en-GB"/>
        </w:rPr>
        <w:t>in</w:t>
      </w:r>
      <w:r w:rsidR="0051681D" w:rsidRPr="00D9232D">
        <w:rPr>
          <w:sz w:val="24"/>
          <w:szCs w:val="24"/>
          <w:lang w:val="en-GB"/>
        </w:rPr>
        <w:t xml:space="preserve"> a large, </w:t>
      </w:r>
      <w:r w:rsidR="006E2991" w:rsidRPr="00D9232D">
        <w:rPr>
          <w:sz w:val="24"/>
          <w:szCs w:val="24"/>
          <w:lang w:val="en-GB"/>
        </w:rPr>
        <w:t>representative,</w:t>
      </w:r>
      <w:r w:rsidR="0051681D" w:rsidRPr="00D9232D">
        <w:rPr>
          <w:sz w:val="24"/>
          <w:szCs w:val="24"/>
          <w:lang w:val="en-GB"/>
        </w:rPr>
        <w:t xml:space="preserve"> and wide-spread sample of adolescents from</w:t>
      </w:r>
      <w:r w:rsidR="006E2991">
        <w:rPr>
          <w:sz w:val="24"/>
          <w:szCs w:val="24"/>
          <w:lang w:val="en-GB"/>
        </w:rPr>
        <w:t xml:space="preserve"> </w:t>
      </w:r>
      <w:r w:rsidR="00C11B78">
        <w:rPr>
          <w:sz w:val="24"/>
          <w:szCs w:val="24"/>
          <w:lang w:val="en-GB"/>
        </w:rPr>
        <w:t>52 countries</w:t>
      </w:r>
      <w:r w:rsidR="0051681D" w:rsidRPr="00D9232D">
        <w:rPr>
          <w:sz w:val="24"/>
          <w:szCs w:val="24"/>
          <w:lang w:val="en-GB"/>
        </w:rPr>
        <w:t xml:space="preserve">. </w:t>
      </w:r>
    </w:p>
    <w:p w14:paraId="1E8C7EC6" w14:textId="0F5F96BA" w:rsidR="00432114" w:rsidRPr="00D9232D" w:rsidRDefault="00810E9F" w:rsidP="004E289D">
      <w:pPr>
        <w:spacing w:line="480" w:lineRule="auto"/>
        <w:rPr>
          <w:sz w:val="24"/>
          <w:szCs w:val="24"/>
          <w:lang w:val="en-GB"/>
        </w:rPr>
      </w:pPr>
      <w:r>
        <w:rPr>
          <w:sz w:val="24"/>
          <w:szCs w:val="24"/>
          <w:lang w:val="en-GB"/>
        </w:rPr>
        <w:lastRenderedPageBreak/>
        <w:t xml:space="preserve">We </w:t>
      </w:r>
      <w:r w:rsidR="00432114" w:rsidRPr="00D9232D">
        <w:rPr>
          <w:sz w:val="24"/>
          <w:szCs w:val="24"/>
          <w:lang w:val="en-GB"/>
        </w:rPr>
        <w:t xml:space="preserve">hypothesised </w:t>
      </w:r>
      <w:r w:rsidR="00A14E5F">
        <w:rPr>
          <w:sz w:val="24"/>
          <w:szCs w:val="24"/>
          <w:lang w:val="en-GB"/>
        </w:rPr>
        <w:t xml:space="preserve">that </w:t>
      </w:r>
      <w:r w:rsidR="00432114" w:rsidRPr="00D9232D">
        <w:rPr>
          <w:sz w:val="24"/>
          <w:szCs w:val="24"/>
          <w:lang w:val="en-GB"/>
        </w:rPr>
        <w:t>an inverse association</w:t>
      </w:r>
      <w:r w:rsidR="00A14E5F">
        <w:rPr>
          <w:sz w:val="24"/>
          <w:szCs w:val="24"/>
          <w:lang w:val="en-GB"/>
        </w:rPr>
        <w:t xml:space="preserve"> will be observed</w:t>
      </w:r>
      <w:r w:rsidR="00432114" w:rsidRPr="00D9232D">
        <w:rPr>
          <w:sz w:val="24"/>
          <w:szCs w:val="24"/>
          <w:lang w:val="en-GB"/>
        </w:rPr>
        <w:t xml:space="preserve"> between </w:t>
      </w:r>
      <w:r w:rsidR="00442540">
        <w:rPr>
          <w:sz w:val="24"/>
          <w:szCs w:val="24"/>
          <w:lang w:val="en-GB"/>
        </w:rPr>
        <w:t>age of first exposure</w:t>
      </w:r>
      <w:r w:rsidR="00432114" w:rsidRPr="00D9232D">
        <w:rPr>
          <w:sz w:val="24"/>
          <w:szCs w:val="24"/>
          <w:lang w:val="en-GB"/>
        </w:rPr>
        <w:t xml:space="preserve"> and heavy use of the </w:t>
      </w:r>
      <w:r w:rsidR="00D9232D">
        <w:rPr>
          <w:sz w:val="24"/>
          <w:szCs w:val="24"/>
          <w:lang w:val="en-GB"/>
        </w:rPr>
        <w:t>Internet</w:t>
      </w:r>
      <w:r w:rsidR="00432114" w:rsidRPr="00D9232D">
        <w:rPr>
          <w:sz w:val="24"/>
          <w:szCs w:val="24"/>
          <w:lang w:val="en-GB"/>
        </w:rPr>
        <w:t xml:space="preserve"> in adolescents, with </w:t>
      </w:r>
      <w:r w:rsidR="009A3836">
        <w:rPr>
          <w:sz w:val="24"/>
          <w:szCs w:val="24"/>
          <w:lang w:val="en-GB"/>
        </w:rPr>
        <w:t xml:space="preserve">potential </w:t>
      </w:r>
      <w:r w:rsidR="00432114" w:rsidRPr="00D9232D">
        <w:rPr>
          <w:sz w:val="24"/>
          <w:szCs w:val="24"/>
          <w:lang w:val="en-GB"/>
        </w:rPr>
        <w:t xml:space="preserve">differences </w:t>
      </w:r>
      <w:r w:rsidR="00840AFD" w:rsidRPr="00D9232D">
        <w:rPr>
          <w:sz w:val="24"/>
          <w:szCs w:val="24"/>
          <w:lang w:val="en-GB"/>
        </w:rPr>
        <w:t>concerning</w:t>
      </w:r>
      <w:r w:rsidR="00432114" w:rsidRPr="00D9232D">
        <w:rPr>
          <w:sz w:val="24"/>
          <w:szCs w:val="24"/>
          <w:lang w:val="en-GB"/>
        </w:rPr>
        <w:t xml:space="preserve"> </w:t>
      </w:r>
      <w:r w:rsidR="00D60B1D" w:rsidRPr="00D9232D">
        <w:rPr>
          <w:sz w:val="24"/>
          <w:szCs w:val="24"/>
          <w:lang w:val="en-GB"/>
        </w:rPr>
        <w:t xml:space="preserve">domains and </w:t>
      </w:r>
      <w:r w:rsidR="00432114" w:rsidRPr="00D9232D">
        <w:rPr>
          <w:sz w:val="24"/>
          <w:szCs w:val="24"/>
          <w:lang w:val="en-GB"/>
        </w:rPr>
        <w:t>geographical regions</w:t>
      </w:r>
      <w:r w:rsidR="00D60B1D" w:rsidRPr="00D9232D">
        <w:rPr>
          <w:sz w:val="24"/>
          <w:szCs w:val="24"/>
          <w:lang w:val="en-GB"/>
        </w:rPr>
        <w:t xml:space="preserve">. </w:t>
      </w:r>
    </w:p>
    <w:p w14:paraId="30A1C6F6" w14:textId="417C5FAE" w:rsidR="00C878A3" w:rsidRPr="00D9232D" w:rsidRDefault="00C878A3" w:rsidP="001612B0">
      <w:pPr>
        <w:pStyle w:val="Heading1"/>
      </w:pPr>
      <w:r w:rsidRPr="00D9232D">
        <w:t>Methods</w:t>
      </w:r>
    </w:p>
    <w:p w14:paraId="191BD200" w14:textId="6CBECFD5" w:rsidR="0056530D" w:rsidRPr="001612B0" w:rsidRDefault="006A6441" w:rsidP="001612B0">
      <w:pPr>
        <w:pStyle w:val="Heading2"/>
      </w:pPr>
      <w:r w:rsidRPr="001612B0">
        <w:t>Study population and d</w:t>
      </w:r>
      <w:r w:rsidR="0084091A" w:rsidRPr="001612B0">
        <w:t>ata source</w:t>
      </w:r>
    </w:p>
    <w:p w14:paraId="5248AE13" w14:textId="499426A6" w:rsidR="0084091A" w:rsidRPr="00D9232D" w:rsidRDefault="0084091A" w:rsidP="004E289D">
      <w:pPr>
        <w:spacing w:line="480" w:lineRule="auto"/>
        <w:rPr>
          <w:sz w:val="24"/>
          <w:szCs w:val="24"/>
          <w:lang w:val="en-GB"/>
        </w:rPr>
      </w:pPr>
      <w:r w:rsidRPr="00D9232D">
        <w:rPr>
          <w:sz w:val="24"/>
          <w:szCs w:val="24"/>
          <w:lang w:val="en-GB"/>
        </w:rPr>
        <w:t xml:space="preserve">The </w:t>
      </w:r>
      <w:bookmarkStart w:id="5" w:name="_Hlk63607129"/>
      <w:bookmarkStart w:id="6" w:name="_Hlk67132664"/>
      <w:r w:rsidRPr="00D9232D">
        <w:rPr>
          <w:sz w:val="24"/>
          <w:szCs w:val="24"/>
          <w:lang w:val="en-GB"/>
        </w:rPr>
        <w:t xml:space="preserve">Organisation for Economic Co-operation and Development </w:t>
      </w:r>
      <w:bookmarkEnd w:id="5"/>
      <w:r w:rsidRPr="00D9232D">
        <w:rPr>
          <w:sz w:val="24"/>
          <w:szCs w:val="24"/>
          <w:lang w:val="en-GB"/>
        </w:rPr>
        <w:t>(OECD</w:t>
      </w:r>
      <w:bookmarkEnd w:id="6"/>
      <w:r w:rsidRPr="00D9232D">
        <w:rPr>
          <w:sz w:val="24"/>
          <w:szCs w:val="24"/>
          <w:lang w:val="en-GB"/>
        </w:rPr>
        <w:t>) systematically conducts a Programme for International Students Assessment (PISA)</w:t>
      </w:r>
      <w:r w:rsidR="00437CB7" w:rsidRPr="00D9232D">
        <w:rPr>
          <w:sz w:val="24"/>
          <w:szCs w:val="24"/>
          <w:lang w:val="en-GB"/>
        </w:rPr>
        <w:t xml:space="preserve"> e</w:t>
      </w:r>
      <w:r w:rsidR="00714310">
        <w:rPr>
          <w:sz w:val="24"/>
          <w:szCs w:val="24"/>
          <w:lang w:val="en-GB"/>
        </w:rPr>
        <w:t>very</w:t>
      </w:r>
      <w:r w:rsidR="00437CB7" w:rsidRPr="00D9232D">
        <w:rPr>
          <w:sz w:val="24"/>
          <w:szCs w:val="24"/>
          <w:lang w:val="en-GB"/>
        </w:rPr>
        <w:t xml:space="preserve"> 3 years since 2000. </w:t>
      </w:r>
      <w:r w:rsidRPr="00D9232D">
        <w:rPr>
          <w:sz w:val="24"/>
          <w:szCs w:val="24"/>
          <w:lang w:val="en-GB"/>
        </w:rPr>
        <w:t xml:space="preserve">A total of 79 countries, </w:t>
      </w:r>
      <w:bookmarkStart w:id="7" w:name="_Hlk63607087"/>
      <w:r w:rsidRPr="00D9232D">
        <w:rPr>
          <w:sz w:val="24"/>
          <w:szCs w:val="24"/>
          <w:lang w:val="en-GB"/>
        </w:rPr>
        <w:t>including OECD and non-OECD members</w:t>
      </w:r>
      <w:bookmarkEnd w:id="7"/>
      <w:r w:rsidRPr="00D9232D">
        <w:rPr>
          <w:sz w:val="24"/>
          <w:szCs w:val="24"/>
          <w:lang w:val="en-GB"/>
        </w:rPr>
        <w:t xml:space="preserve">, participated in the latest round of </w:t>
      </w:r>
      <w:r w:rsidR="00E34FB0" w:rsidRPr="00D9232D">
        <w:rPr>
          <w:sz w:val="24"/>
          <w:szCs w:val="24"/>
          <w:lang w:val="en-GB"/>
        </w:rPr>
        <w:t>PISA in</w:t>
      </w:r>
      <w:r w:rsidRPr="00D9232D">
        <w:rPr>
          <w:sz w:val="24"/>
          <w:szCs w:val="24"/>
          <w:lang w:val="en-GB"/>
        </w:rPr>
        <w:t xml:space="preserve"> 2018</w:t>
      </w:r>
      <w:r w:rsidR="00520524">
        <w:rPr>
          <w:sz w:val="24"/>
          <w:szCs w:val="24"/>
          <w:lang w:val="en-GB"/>
        </w:rPr>
        <w:t xml:space="preserve">. </w:t>
      </w:r>
      <w:bookmarkStart w:id="8" w:name="_Hlk76978497"/>
      <w:r w:rsidR="00520524">
        <w:rPr>
          <w:sz w:val="24"/>
          <w:szCs w:val="24"/>
          <w:lang w:val="en-GB"/>
        </w:rPr>
        <w:t xml:space="preserve">Of those, only countries implementing </w:t>
      </w:r>
      <w:r w:rsidR="00520524" w:rsidRPr="00520524">
        <w:rPr>
          <w:sz w:val="24"/>
          <w:szCs w:val="24"/>
          <w:lang w:val="en-GB"/>
        </w:rPr>
        <w:t>both the Student Questionnaire, which was compulsory in the PISA 2018 main survey, and the optional Familiarity Questionnaire</w:t>
      </w:r>
      <w:r w:rsidR="00520524">
        <w:rPr>
          <w:sz w:val="24"/>
          <w:szCs w:val="24"/>
          <w:lang w:val="en-GB"/>
        </w:rPr>
        <w:t xml:space="preserve">, which contained the main examined variables, were included in the present study (i.e., </w:t>
      </w:r>
      <w:r w:rsidR="00EF5AAD">
        <w:rPr>
          <w:sz w:val="24"/>
          <w:szCs w:val="24"/>
          <w:lang w:val="en-GB"/>
        </w:rPr>
        <w:t>52 countries overall)</w:t>
      </w:r>
      <w:bookmarkEnd w:id="8"/>
      <w:r w:rsidR="00E34FB0" w:rsidRPr="00D9232D">
        <w:rPr>
          <w:sz w:val="24"/>
          <w:szCs w:val="24"/>
          <w:lang w:val="en-GB"/>
        </w:rPr>
        <w:t>. Th</w:t>
      </w:r>
      <w:r w:rsidR="0067025C">
        <w:rPr>
          <w:sz w:val="24"/>
          <w:szCs w:val="24"/>
          <w:lang w:val="en-GB"/>
        </w:rPr>
        <w:t>is</w:t>
      </w:r>
      <w:r w:rsidR="00407848" w:rsidRPr="00D9232D">
        <w:rPr>
          <w:sz w:val="24"/>
          <w:szCs w:val="24"/>
          <w:lang w:val="en-GB"/>
        </w:rPr>
        <w:t xml:space="preserve"> comprised </w:t>
      </w:r>
      <w:r w:rsidR="00563617" w:rsidRPr="00D9232D">
        <w:rPr>
          <w:sz w:val="24"/>
          <w:szCs w:val="24"/>
          <w:lang w:val="en-GB"/>
        </w:rPr>
        <w:t xml:space="preserve">an in-school </w:t>
      </w:r>
      <w:r w:rsidR="00C80CD4" w:rsidRPr="00D9232D">
        <w:rPr>
          <w:sz w:val="24"/>
          <w:szCs w:val="24"/>
          <w:lang w:val="en-GB"/>
        </w:rPr>
        <w:t xml:space="preserve">representative </w:t>
      </w:r>
      <w:r w:rsidR="00563617" w:rsidRPr="00D9232D">
        <w:rPr>
          <w:sz w:val="24"/>
          <w:szCs w:val="24"/>
          <w:lang w:val="en-GB"/>
        </w:rPr>
        <w:t xml:space="preserve">population </w:t>
      </w:r>
      <w:r w:rsidR="00C80CD4" w:rsidRPr="00D9232D">
        <w:rPr>
          <w:sz w:val="24"/>
          <w:szCs w:val="24"/>
          <w:lang w:val="en-GB"/>
        </w:rPr>
        <w:t xml:space="preserve">of </w:t>
      </w:r>
      <w:r w:rsidR="00407848" w:rsidRPr="00D9232D">
        <w:rPr>
          <w:sz w:val="24"/>
          <w:szCs w:val="24"/>
          <w:lang w:val="en-GB"/>
        </w:rPr>
        <w:t xml:space="preserve">students aged between 15 years and 3-months and 16 years and 2-months at the time of assessment, or a one-month variation of this. </w:t>
      </w:r>
      <w:r w:rsidR="00E34FB0" w:rsidRPr="00D9232D">
        <w:rPr>
          <w:sz w:val="24"/>
          <w:szCs w:val="24"/>
          <w:lang w:val="en-GB"/>
        </w:rPr>
        <w:t xml:space="preserve">Except for Russia, where a three-stage design </w:t>
      </w:r>
      <w:r w:rsidR="003A174D" w:rsidRPr="00D9232D">
        <w:rPr>
          <w:sz w:val="24"/>
          <w:szCs w:val="24"/>
          <w:lang w:val="en-GB"/>
        </w:rPr>
        <w:t xml:space="preserve">first considering geographical regions </w:t>
      </w:r>
      <w:r w:rsidR="00E34FB0" w:rsidRPr="00D9232D">
        <w:rPr>
          <w:sz w:val="24"/>
          <w:szCs w:val="24"/>
          <w:lang w:val="en-GB"/>
        </w:rPr>
        <w:t>was used, P</w:t>
      </w:r>
      <w:r w:rsidR="003257B8" w:rsidRPr="00D9232D">
        <w:rPr>
          <w:sz w:val="24"/>
          <w:szCs w:val="24"/>
          <w:lang w:val="en-GB"/>
        </w:rPr>
        <w:t xml:space="preserve">ISA </w:t>
      </w:r>
      <w:r w:rsidR="00E34FB0" w:rsidRPr="00D9232D">
        <w:rPr>
          <w:sz w:val="24"/>
          <w:szCs w:val="24"/>
          <w:lang w:val="en-GB"/>
        </w:rPr>
        <w:t>was based on</w:t>
      </w:r>
      <w:r w:rsidR="003257B8" w:rsidRPr="00D9232D">
        <w:rPr>
          <w:sz w:val="24"/>
          <w:szCs w:val="24"/>
          <w:lang w:val="en-GB"/>
        </w:rPr>
        <w:t xml:space="preserve"> a two-stage probabilistic, </w:t>
      </w:r>
      <w:r w:rsidR="00E34FB0" w:rsidRPr="00D9232D">
        <w:rPr>
          <w:sz w:val="24"/>
          <w:szCs w:val="24"/>
          <w:lang w:val="en-GB"/>
        </w:rPr>
        <w:t>stratified,</w:t>
      </w:r>
      <w:r w:rsidR="003257B8" w:rsidRPr="00D9232D">
        <w:rPr>
          <w:sz w:val="24"/>
          <w:szCs w:val="24"/>
          <w:lang w:val="en-GB"/>
        </w:rPr>
        <w:t xml:space="preserve"> and clustered survey design</w:t>
      </w:r>
      <w:r w:rsidR="00E34FB0" w:rsidRPr="00D9232D">
        <w:rPr>
          <w:sz w:val="24"/>
          <w:szCs w:val="24"/>
          <w:lang w:val="en-GB"/>
        </w:rPr>
        <w:t xml:space="preserve"> for</w:t>
      </w:r>
      <w:r w:rsidR="003A174D" w:rsidRPr="00D9232D">
        <w:rPr>
          <w:sz w:val="24"/>
          <w:szCs w:val="24"/>
          <w:lang w:val="en-GB"/>
        </w:rPr>
        <w:t xml:space="preserve"> the participa</w:t>
      </w:r>
      <w:r w:rsidR="0067025C">
        <w:rPr>
          <w:sz w:val="24"/>
          <w:szCs w:val="24"/>
          <w:lang w:val="en-GB"/>
        </w:rPr>
        <w:t>ting</w:t>
      </w:r>
      <w:r w:rsidR="00E34FB0" w:rsidRPr="00D9232D">
        <w:rPr>
          <w:sz w:val="24"/>
          <w:szCs w:val="24"/>
          <w:lang w:val="en-GB"/>
        </w:rPr>
        <w:t xml:space="preserve"> countries</w:t>
      </w:r>
      <w:r w:rsidR="003257B8" w:rsidRPr="00D9232D">
        <w:rPr>
          <w:sz w:val="24"/>
          <w:szCs w:val="24"/>
          <w:lang w:val="en-GB"/>
        </w:rPr>
        <w:t xml:space="preserve">. First, schools </w:t>
      </w:r>
      <w:r w:rsidR="003A174D" w:rsidRPr="00D9232D">
        <w:rPr>
          <w:sz w:val="24"/>
          <w:szCs w:val="24"/>
          <w:lang w:val="en-GB"/>
        </w:rPr>
        <w:t>were</w:t>
      </w:r>
      <w:r w:rsidR="003257B8" w:rsidRPr="00D9232D">
        <w:rPr>
          <w:sz w:val="24"/>
          <w:szCs w:val="24"/>
          <w:lang w:val="en-GB"/>
        </w:rPr>
        <w:t xml:space="preserve"> stratified and then </w:t>
      </w:r>
      <w:r w:rsidR="00E34FB0" w:rsidRPr="00D9232D">
        <w:rPr>
          <w:sz w:val="24"/>
          <w:szCs w:val="24"/>
          <w:lang w:val="en-GB"/>
        </w:rPr>
        <w:t>a minimum of 150 schools with probability proportional to size were randomly selected from within each country</w:t>
      </w:r>
      <w:r w:rsidR="003257B8" w:rsidRPr="00D9232D">
        <w:rPr>
          <w:sz w:val="24"/>
          <w:szCs w:val="24"/>
          <w:lang w:val="en-GB"/>
        </w:rPr>
        <w:t xml:space="preserve">. </w:t>
      </w:r>
      <w:r w:rsidR="003A174D" w:rsidRPr="00D9232D">
        <w:rPr>
          <w:sz w:val="24"/>
          <w:szCs w:val="24"/>
          <w:lang w:val="en-GB"/>
        </w:rPr>
        <w:t>The second-stage sampling was aimed at students within sampled schools</w:t>
      </w:r>
      <w:r w:rsidR="00A73E38" w:rsidRPr="00D9232D">
        <w:rPr>
          <w:sz w:val="24"/>
          <w:szCs w:val="24"/>
          <w:lang w:val="en-GB"/>
        </w:rPr>
        <w:t>;</w:t>
      </w:r>
      <w:r w:rsidR="003A174D" w:rsidRPr="00D9232D">
        <w:rPr>
          <w:sz w:val="24"/>
          <w:szCs w:val="24"/>
          <w:lang w:val="en-GB"/>
        </w:rPr>
        <w:t xml:space="preserve"> </w:t>
      </w:r>
      <w:r w:rsidR="00A73E38" w:rsidRPr="00D9232D">
        <w:rPr>
          <w:sz w:val="24"/>
          <w:szCs w:val="24"/>
          <w:lang w:val="en-GB"/>
        </w:rPr>
        <w:t xml:space="preserve">from each list of eligible students within a school, </w:t>
      </w:r>
      <w:r w:rsidR="00563617" w:rsidRPr="00D9232D">
        <w:rPr>
          <w:sz w:val="24"/>
          <w:szCs w:val="24"/>
          <w:lang w:val="en-GB"/>
        </w:rPr>
        <w:t xml:space="preserve">either </w:t>
      </w:r>
      <w:r w:rsidR="00A73E38" w:rsidRPr="00D9232D">
        <w:rPr>
          <w:sz w:val="24"/>
          <w:szCs w:val="24"/>
          <w:lang w:val="en-GB"/>
        </w:rPr>
        <w:t xml:space="preserve">a sample </w:t>
      </w:r>
      <w:r w:rsidR="00563617" w:rsidRPr="00D9232D">
        <w:rPr>
          <w:sz w:val="24"/>
          <w:szCs w:val="24"/>
          <w:lang w:val="en-GB"/>
        </w:rPr>
        <w:t>of</w:t>
      </w:r>
      <w:r w:rsidR="00A73E38" w:rsidRPr="00D9232D">
        <w:rPr>
          <w:sz w:val="24"/>
          <w:szCs w:val="24"/>
          <w:lang w:val="en-GB"/>
        </w:rPr>
        <w:t xml:space="preserve"> 42 </w:t>
      </w:r>
      <w:r w:rsidR="00563617" w:rsidRPr="00D9232D">
        <w:rPr>
          <w:sz w:val="24"/>
          <w:szCs w:val="24"/>
          <w:lang w:val="en-GB"/>
        </w:rPr>
        <w:t xml:space="preserve">or 35 students </w:t>
      </w:r>
      <w:r w:rsidR="00A73E38" w:rsidRPr="00D9232D">
        <w:rPr>
          <w:sz w:val="24"/>
          <w:szCs w:val="24"/>
          <w:lang w:val="en-GB"/>
        </w:rPr>
        <w:t xml:space="preserve">were selected </w:t>
      </w:r>
      <w:r w:rsidR="00563617" w:rsidRPr="00D9232D">
        <w:rPr>
          <w:sz w:val="24"/>
          <w:szCs w:val="24"/>
          <w:lang w:val="en-GB"/>
        </w:rPr>
        <w:t xml:space="preserve">with equal probability for </w:t>
      </w:r>
      <w:bookmarkStart w:id="9" w:name="_Hlk63607974"/>
      <w:r w:rsidR="00563617" w:rsidRPr="00D9232D">
        <w:rPr>
          <w:sz w:val="24"/>
          <w:szCs w:val="24"/>
          <w:lang w:val="en-GB"/>
        </w:rPr>
        <w:t>computer and paper-based assessments</w:t>
      </w:r>
      <w:bookmarkEnd w:id="9"/>
      <w:r w:rsidR="00A73E38" w:rsidRPr="00D9232D">
        <w:rPr>
          <w:sz w:val="24"/>
          <w:szCs w:val="24"/>
          <w:lang w:val="en-GB"/>
        </w:rPr>
        <w:t xml:space="preserve">, and for lists with fewer </w:t>
      </w:r>
      <w:r w:rsidR="00563617" w:rsidRPr="00D9232D">
        <w:rPr>
          <w:sz w:val="24"/>
          <w:szCs w:val="24"/>
          <w:lang w:val="en-GB"/>
        </w:rPr>
        <w:t xml:space="preserve">students </w:t>
      </w:r>
      <w:r w:rsidR="00A73E38" w:rsidRPr="00D9232D">
        <w:rPr>
          <w:sz w:val="24"/>
          <w:szCs w:val="24"/>
          <w:lang w:val="en-GB"/>
        </w:rPr>
        <w:t xml:space="preserve">than that target </w:t>
      </w:r>
      <w:r w:rsidR="00563617" w:rsidRPr="00D9232D">
        <w:rPr>
          <w:sz w:val="24"/>
          <w:szCs w:val="24"/>
          <w:lang w:val="en-GB"/>
        </w:rPr>
        <w:t>number</w:t>
      </w:r>
      <w:r w:rsidR="00A73E38" w:rsidRPr="00D9232D">
        <w:rPr>
          <w:sz w:val="24"/>
          <w:szCs w:val="24"/>
          <w:lang w:val="en-GB"/>
        </w:rPr>
        <w:t xml:space="preserve">, all students on the list were selected. </w:t>
      </w:r>
      <w:r w:rsidR="00E34FB0" w:rsidRPr="00D9232D">
        <w:rPr>
          <w:sz w:val="24"/>
          <w:szCs w:val="24"/>
          <w:lang w:val="en-GB"/>
        </w:rPr>
        <w:t>Included countries</w:t>
      </w:r>
      <w:r w:rsidR="00A14E5F">
        <w:rPr>
          <w:sz w:val="24"/>
          <w:szCs w:val="24"/>
          <w:lang w:val="en-GB"/>
        </w:rPr>
        <w:t xml:space="preserve"> </w:t>
      </w:r>
      <w:r w:rsidR="00A73E38" w:rsidRPr="00D9232D">
        <w:rPr>
          <w:sz w:val="24"/>
          <w:szCs w:val="24"/>
          <w:lang w:val="en-GB"/>
        </w:rPr>
        <w:t>aim</w:t>
      </w:r>
      <w:r w:rsidR="00A14E5F">
        <w:rPr>
          <w:sz w:val="24"/>
          <w:szCs w:val="24"/>
          <w:lang w:val="en-GB"/>
        </w:rPr>
        <w:t xml:space="preserve">ed </w:t>
      </w:r>
      <w:r w:rsidR="006E2991">
        <w:rPr>
          <w:sz w:val="24"/>
          <w:szCs w:val="24"/>
          <w:lang w:val="en-GB"/>
        </w:rPr>
        <w:t xml:space="preserve">for </w:t>
      </w:r>
      <w:r w:rsidR="006E2991" w:rsidRPr="00D9232D">
        <w:rPr>
          <w:sz w:val="24"/>
          <w:szCs w:val="24"/>
          <w:lang w:val="en-GB"/>
        </w:rPr>
        <w:t>a</w:t>
      </w:r>
      <w:r w:rsidR="003A174D" w:rsidRPr="00D9232D">
        <w:rPr>
          <w:sz w:val="24"/>
          <w:szCs w:val="24"/>
          <w:lang w:val="en-GB"/>
        </w:rPr>
        <w:t xml:space="preserve"> </w:t>
      </w:r>
      <w:r w:rsidR="003257B8" w:rsidRPr="00D9232D">
        <w:rPr>
          <w:sz w:val="24"/>
          <w:szCs w:val="24"/>
          <w:lang w:val="en-GB"/>
        </w:rPr>
        <w:lastRenderedPageBreak/>
        <w:t xml:space="preserve">response rate of 85% for schools and 80% for </w:t>
      </w:r>
      <w:r w:rsidR="003A174D" w:rsidRPr="00D9232D">
        <w:rPr>
          <w:sz w:val="24"/>
          <w:szCs w:val="24"/>
          <w:lang w:val="en-GB"/>
        </w:rPr>
        <w:t>students.</w:t>
      </w:r>
      <w:r w:rsidR="00A73E38" w:rsidRPr="00D9232D">
        <w:rPr>
          <w:sz w:val="24"/>
          <w:szCs w:val="24"/>
          <w:lang w:val="en-GB"/>
        </w:rPr>
        <w:t xml:space="preserve"> Further details of both the complex survey and sampling design are available in the 2018 Technical Report</w:t>
      </w:r>
      <w:r w:rsidR="00E9107F">
        <w:rPr>
          <w:sz w:val="24"/>
          <w:szCs w:val="24"/>
          <w:lang w:val="en-GB"/>
        </w:rPr>
        <w:t xml:space="preserve"> </w:t>
      </w:r>
      <w:r w:rsidR="00E6121F" w:rsidRPr="00D9232D">
        <w:rPr>
          <w:sz w:val="24"/>
          <w:szCs w:val="24"/>
          <w:lang w:val="en-GB"/>
        </w:rPr>
        <w:fldChar w:fldCharType="begin" w:fldLock="1"/>
      </w:r>
      <w:r w:rsidR="00E9107F">
        <w:rPr>
          <w:sz w:val="24"/>
          <w:szCs w:val="24"/>
          <w:lang w:val="en-GB"/>
        </w:rPr>
        <w:instrText>ADDIN CSL_CITATION {"citationItems":[{"id":"ITEM-1","itemData":{"author":[{"dropping-particle":"","family":"Organisation for Economic Co-operation and Development","given":"","non-dropping-particle":"","parse-names":false,"suffix":""}],"id":"ITEM-1","issued":{"date-parts":[["2018"]]},"publisher-place":"Paris","title":"PISA 2018 Technical Report","type":"report"},"uris":["http://www.mendeley.com/documents/?uuid=f56611f1-5eff-4092-8f21-aeae9b39f7b4"]}],"mendeley":{"formattedCitation":"[13]","plainTextFormattedCitation":"[13]","previouslyFormattedCitation":"[13]"},"properties":{"noteIndex":0},"schema":"https://github.com/citation-style-language/schema/raw/master/csl-citation.json"}</w:instrText>
      </w:r>
      <w:r w:rsidR="00E6121F" w:rsidRPr="00D9232D">
        <w:rPr>
          <w:sz w:val="24"/>
          <w:szCs w:val="24"/>
          <w:lang w:val="en-GB"/>
        </w:rPr>
        <w:fldChar w:fldCharType="separate"/>
      </w:r>
      <w:r w:rsidR="004E289D" w:rsidRPr="004E289D">
        <w:rPr>
          <w:noProof/>
          <w:sz w:val="24"/>
          <w:szCs w:val="24"/>
          <w:lang w:val="en-GB"/>
        </w:rPr>
        <w:t>[13]</w:t>
      </w:r>
      <w:r w:rsidR="00E6121F" w:rsidRPr="00D9232D">
        <w:rPr>
          <w:sz w:val="24"/>
          <w:szCs w:val="24"/>
          <w:lang w:val="en-GB"/>
        </w:rPr>
        <w:fldChar w:fldCharType="end"/>
      </w:r>
      <w:r w:rsidR="00E9107F">
        <w:rPr>
          <w:sz w:val="24"/>
          <w:szCs w:val="24"/>
          <w:lang w:val="en-GB"/>
        </w:rPr>
        <w:t>.</w:t>
      </w:r>
    </w:p>
    <w:p w14:paraId="0C45F94E" w14:textId="3B82657D" w:rsidR="00D93784" w:rsidRPr="00D9232D" w:rsidRDefault="00F15282" w:rsidP="004E289D">
      <w:pPr>
        <w:spacing w:line="480" w:lineRule="auto"/>
        <w:rPr>
          <w:sz w:val="24"/>
          <w:szCs w:val="24"/>
          <w:lang w:val="en-GB"/>
        </w:rPr>
      </w:pPr>
      <w:r w:rsidRPr="00D9232D">
        <w:rPr>
          <w:sz w:val="24"/>
          <w:szCs w:val="24"/>
          <w:lang w:val="en-GB"/>
        </w:rPr>
        <w:t xml:space="preserve">Data retrieved from the public anonymized dataset derived from </w:t>
      </w:r>
      <w:r w:rsidR="006B69AA">
        <w:rPr>
          <w:sz w:val="24"/>
          <w:szCs w:val="24"/>
          <w:lang w:val="en-GB"/>
        </w:rPr>
        <w:t>PISA</w:t>
      </w:r>
      <w:r w:rsidR="00CF779A" w:rsidRPr="00D9232D">
        <w:rPr>
          <w:sz w:val="24"/>
          <w:szCs w:val="24"/>
          <w:lang w:val="en-GB"/>
        </w:rPr>
        <w:t xml:space="preserve"> questionnaires</w:t>
      </w:r>
      <w:r w:rsidRPr="00D9232D">
        <w:rPr>
          <w:sz w:val="24"/>
          <w:szCs w:val="24"/>
          <w:lang w:val="en-GB"/>
        </w:rPr>
        <w:t xml:space="preserve"> w</w:t>
      </w:r>
      <w:r w:rsidR="00971A72">
        <w:rPr>
          <w:sz w:val="24"/>
          <w:szCs w:val="24"/>
          <w:lang w:val="en-GB"/>
        </w:rPr>
        <w:t>ere</w:t>
      </w:r>
      <w:r w:rsidRPr="00D9232D">
        <w:rPr>
          <w:sz w:val="24"/>
          <w:szCs w:val="24"/>
          <w:lang w:val="en-GB"/>
        </w:rPr>
        <w:t xml:space="preserve"> used for the present study. </w:t>
      </w:r>
      <w:r w:rsidR="007E1408" w:rsidRPr="00D9232D">
        <w:rPr>
          <w:sz w:val="24"/>
          <w:szCs w:val="24"/>
          <w:lang w:val="en-GB"/>
        </w:rPr>
        <w:t>P</w:t>
      </w:r>
      <w:r w:rsidR="00003740" w:rsidRPr="00D9232D">
        <w:rPr>
          <w:sz w:val="24"/>
          <w:szCs w:val="24"/>
          <w:lang w:val="en-GB"/>
        </w:rPr>
        <w:t xml:space="preserve">articipants with </w:t>
      </w:r>
      <w:r w:rsidR="007E1408" w:rsidRPr="00D9232D">
        <w:rPr>
          <w:sz w:val="24"/>
          <w:szCs w:val="24"/>
          <w:lang w:val="en-GB"/>
        </w:rPr>
        <w:t>complete</w:t>
      </w:r>
      <w:r w:rsidR="00003740" w:rsidRPr="00D9232D">
        <w:rPr>
          <w:sz w:val="24"/>
          <w:szCs w:val="24"/>
          <w:lang w:val="en-GB"/>
        </w:rPr>
        <w:t xml:space="preserve"> value</w:t>
      </w:r>
      <w:r w:rsidR="007E1408" w:rsidRPr="00D9232D">
        <w:rPr>
          <w:sz w:val="24"/>
          <w:szCs w:val="24"/>
          <w:lang w:val="en-GB"/>
        </w:rPr>
        <w:t>s</w:t>
      </w:r>
      <w:r w:rsidR="00003740" w:rsidRPr="00D9232D">
        <w:rPr>
          <w:sz w:val="24"/>
          <w:szCs w:val="24"/>
          <w:lang w:val="en-GB"/>
        </w:rPr>
        <w:t xml:space="preserve"> in </w:t>
      </w:r>
      <w:r w:rsidR="0067025C">
        <w:rPr>
          <w:sz w:val="24"/>
          <w:szCs w:val="24"/>
          <w:lang w:val="en-GB"/>
        </w:rPr>
        <w:t xml:space="preserve">all </w:t>
      </w:r>
      <w:r w:rsidR="00003740" w:rsidRPr="00D9232D">
        <w:rPr>
          <w:sz w:val="24"/>
          <w:szCs w:val="24"/>
          <w:lang w:val="en-GB"/>
        </w:rPr>
        <w:t>the variables</w:t>
      </w:r>
      <w:r w:rsidR="0067025C">
        <w:rPr>
          <w:sz w:val="24"/>
          <w:szCs w:val="24"/>
          <w:lang w:val="en-GB"/>
        </w:rPr>
        <w:t xml:space="preserve"> used in this study</w:t>
      </w:r>
      <w:r w:rsidR="00003740" w:rsidRPr="00D9232D">
        <w:rPr>
          <w:sz w:val="24"/>
          <w:szCs w:val="24"/>
          <w:lang w:val="en-GB"/>
        </w:rPr>
        <w:t xml:space="preserve"> </w:t>
      </w:r>
      <w:r w:rsidR="008676CE" w:rsidRPr="00D9232D">
        <w:rPr>
          <w:sz w:val="24"/>
          <w:szCs w:val="24"/>
          <w:lang w:val="en-GB"/>
        </w:rPr>
        <w:t>(</w:t>
      </w:r>
      <w:r w:rsidR="004213FE">
        <w:rPr>
          <w:sz w:val="24"/>
          <w:szCs w:val="24"/>
          <w:lang w:val="en-GB"/>
        </w:rPr>
        <w:t>84</w:t>
      </w:r>
      <w:r w:rsidR="00003740" w:rsidRPr="00D9232D">
        <w:rPr>
          <w:sz w:val="24"/>
          <w:szCs w:val="24"/>
          <w:lang w:val="en-GB"/>
        </w:rPr>
        <w:t>%)</w:t>
      </w:r>
      <w:r w:rsidR="007E1408" w:rsidRPr="00D9232D">
        <w:rPr>
          <w:sz w:val="24"/>
          <w:szCs w:val="24"/>
          <w:lang w:val="en-GB"/>
        </w:rPr>
        <w:t xml:space="preserve"> </w:t>
      </w:r>
      <w:r w:rsidR="008676CE" w:rsidRPr="00D9232D">
        <w:rPr>
          <w:sz w:val="24"/>
          <w:szCs w:val="24"/>
          <w:lang w:val="en-GB"/>
        </w:rPr>
        <w:t xml:space="preserve">were </w:t>
      </w:r>
      <w:r w:rsidR="007E1408" w:rsidRPr="00D9232D">
        <w:rPr>
          <w:sz w:val="24"/>
          <w:szCs w:val="24"/>
          <w:lang w:val="en-GB"/>
        </w:rPr>
        <w:t xml:space="preserve">included in the </w:t>
      </w:r>
      <w:r w:rsidR="008676CE" w:rsidRPr="00D9232D">
        <w:rPr>
          <w:sz w:val="24"/>
          <w:szCs w:val="24"/>
          <w:lang w:val="en-GB"/>
        </w:rPr>
        <w:t xml:space="preserve">analyses. </w:t>
      </w:r>
    </w:p>
    <w:p w14:paraId="51DB9B11" w14:textId="0ED705C0" w:rsidR="005D624D" w:rsidRDefault="006B69AA" w:rsidP="004E289D">
      <w:pPr>
        <w:spacing w:line="480" w:lineRule="auto"/>
        <w:rPr>
          <w:sz w:val="24"/>
          <w:szCs w:val="24"/>
          <w:lang w:val="en-GB"/>
        </w:rPr>
      </w:pPr>
      <w:r>
        <w:rPr>
          <w:sz w:val="24"/>
          <w:szCs w:val="24"/>
          <w:lang w:val="en-GB"/>
        </w:rPr>
        <w:t>C</w:t>
      </w:r>
      <w:r w:rsidR="005D624D" w:rsidRPr="00D9232D">
        <w:rPr>
          <w:sz w:val="24"/>
          <w:szCs w:val="24"/>
          <w:lang w:val="en-GB"/>
        </w:rPr>
        <w:t xml:space="preserve">ountries </w:t>
      </w:r>
      <w:r w:rsidR="002B3F0E" w:rsidRPr="00D9232D">
        <w:rPr>
          <w:sz w:val="24"/>
          <w:szCs w:val="24"/>
          <w:lang w:val="en-GB"/>
        </w:rPr>
        <w:t xml:space="preserve">were grouped </w:t>
      </w:r>
      <w:r w:rsidR="005D624D" w:rsidRPr="00D9232D">
        <w:rPr>
          <w:sz w:val="24"/>
          <w:szCs w:val="24"/>
          <w:lang w:val="en-GB"/>
        </w:rPr>
        <w:t xml:space="preserve">into </w:t>
      </w:r>
      <w:r w:rsidR="00C576F3" w:rsidRPr="00D9232D">
        <w:rPr>
          <w:sz w:val="24"/>
          <w:szCs w:val="24"/>
          <w:lang w:val="en-GB"/>
        </w:rPr>
        <w:t>seven</w:t>
      </w:r>
      <w:r w:rsidR="005D624D" w:rsidRPr="00D9232D">
        <w:rPr>
          <w:sz w:val="24"/>
          <w:szCs w:val="24"/>
          <w:lang w:val="en-GB"/>
        </w:rPr>
        <w:t xml:space="preserve"> categories </w:t>
      </w:r>
      <w:r w:rsidR="002B3F0E" w:rsidRPr="00D9232D">
        <w:rPr>
          <w:sz w:val="24"/>
          <w:szCs w:val="24"/>
          <w:lang w:val="en-GB"/>
        </w:rPr>
        <w:t xml:space="preserve">according to </w:t>
      </w:r>
      <w:r w:rsidR="005D624D" w:rsidRPr="00D9232D">
        <w:rPr>
          <w:sz w:val="24"/>
          <w:szCs w:val="24"/>
          <w:lang w:val="en-GB"/>
        </w:rPr>
        <w:t xml:space="preserve">the World Health Organization </w:t>
      </w:r>
      <w:r w:rsidR="002B3F0E" w:rsidRPr="00D9232D">
        <w:rPr>
          <w:sz w:val="24"/>
          <w:szCs w:val="24"/>
          <w:lang w:val="en-GB"/>
        </w:rPr>
        <w:t>(WHO) regions and sub-regions. Sub-regions are denoted by A, B and C suffices, which corresponds to a declining country-level wealth</w:t>
      </w:r>
      <w:r w:rsidR="00E9107F">
        <w:rPr>
          <w:sz w:val="24"/>
          <w:szCs w:val="24"/>
          <w:lang w:val="en-GB"/>
        </w:rPr>
        <w:t xml:space="preserve"> </w:t>
      </w:r>
      <w:r w:rsidR="008916CD" w:rsidRPr="00D9232D">
        <w:rPr>
          <w:sz w:val="24"/>
          <w:szCs w:val="24"/>
          <w:lang w:val="en-GB"/>
        </w:rPr>
        <w:fldChar w:fldCharType="begin" w:fldLock="1"/>
      </w:r>
      <w:r w:rsidR="00E9107F">
        <w:rPr>
          <w:sz w:val="24"/>
          <w:szCs w:val="24"/>
          <w:lang w:val="en-GB"/>
        </w:rPr>
        <w:instrText>ADDIN CSL_CITATION {"citationItems":[{"id":"ITEM-1","itemData":{"URL":"https://www.who.int/choice/demography/euro_region/en/","accessed":{"date-parts":[["2020","1","10"]]},"author":[{"dropping-particle":"","family":"World Health Organization","given":"","non-dropping-particle":"","parse-names":false,"suffix":""}],"id":"ITEM-1","issued":{"date-parts":[["0"]]},"title":"Cost effectiveness and strategic planning (WHO-CHOICE)","type":"webpage"},"uris":["http://www.mendeley.com/documents/?uuid=61603eb7-abc2-4b92-b7eb-95642d213fe2"]}],"mendeley":{"formattedCitation":"[14]","plainTextFormattedCitation":"[14]","previouslyFormattedCitation":"[14]"},"properties":{"noteIndex":0},"schema":"https://github.com/citation-style-language/schema/raw/master/csl-citation.json"}</w:instrText>
      </w:r>
      <w:r w:rsidR="008916CD" w:rsidRPr="00D9232D">
        <w:rPr>
          <w:sz w:val="24"/>
          <w:szCs w:val="24"/>
          <w:lang w:val="en-GB"/>
        </w:rPr>
        <w:fldChar w:fldCharType="separate"/>
      </w:r>
      <w:r w:rsidR="004E289D" w:rsidRPr="004E289D">
        <w:rPr>
          <w:noProof/>
          <w:sz w:val="24"/>
          <w:szCs w:val="24"/>
          <w:lang w:val="en-GB"/>
        </w:rPr>
        <w:t>[14]</w:t>
      </w:r>
      <w:r w:rsidR="008916CD" w:rsidRPr="00D9232D">
        <w:rPr>
          <w:sz w:val="24"/>
          <w:szCs w:val="24"/>
          <w:lang w:val="en-GB"/>
        </w:rPr>
        <w:fldChar w:fldCharType="end"/>
      </w:r>
      <w:r w:rsidR="00E9107F">
        <w:rPr>
          <w:sz w:val="24"/>
          <w:szCs w:val="24"/>
          <w:lang w:val="en-GB"/>
        </w:rPr>
        <w:t>.</w:t>
      </w:r>
      <w:r w:rsidR="008916CD" w:rsidRPr="00D9232D">
        <w:rPr>
          <w:sz w:val="24"/>
          <w:szCs w:val="24"/>
          <w:lang w:val="en-GB"/>
        </w:rPr>
        <w:t xml:space="preserve"> </w:t>
      </w:r>
      <w:r w:rsidR="002B3F0E" w:rsidRPr="00D9232D">
        <w:rPr>
          <w:sz w:val="24"/>
          <w:szCs w:val="24"/>
          <w:lang w:val="en-GB"/>
        </w:rPr>
        <w:t xml:space="preserve">The </w:t>
      </w:r>
      <w:r w:rsidR="008916CD" w:rsidRPr="00D9232D">
        <w:rPr>
          <w:sz w:val="24"/>
          <w:szCs w:val="24"/>
          <w:lang w:val="en-GB"/>
        </w:rPr>
        <w:t>seven</w:t>
      </w:r>
      <w:r w:rsidR="002B3F0E" w:rsidRPr="00D9232D">
        <w:rPr>
          <w:sz w:val="24"/>
          <w:szCs w:val="24"/>
          <w:lang w:val="en-GB"/>
        </w:rPr>
        <w:t xml:space="preserve"> categories </w:t>
      </w:r>
      <w:r w:rsidR="008916CD" w:rsidRPr="00D9232D">
        <w:rPr>
          <w:sz w:val="24"/>
          <w:szCs w:val="24"/>
          <w:lang w:val="en-GB"/>
        </w:rPr>
        <w:t>used were the following</w:t>
      </w:r>
      <w:r w:rsidR="002B3F0E" w:rsidRPr="00D9232D">
        <w:rPr>
          <w:sz w:val="24"/>
          <w:szCs w:val="24"/>
          <w:lang w:val="en-GB"/>
        </w:rPr>
        <w:t>: (1) Americas A (U</w:t>
      </w:r>
      <w:r w:rsidR="00C576F3" w:rsidRPr="00D9232D">
        <w:rPr>
          <w:sz w:val="24"/>
          <w:szCs w:val="24"/>
          <w:lang w:val="en-GB"/>
        </w:rPr>
        <w:t>nited States</w:t>
      </w:r>
      <w:r w:rsidR="002B3F0E" w:rsidRPr="00D9232D">
        <w:rPr>
          <w:sz w:val="24"/>
          <w:szCs w:val="24"/>
          <w:lang w:val="en-GB"/>
        </w:rPr>
        <w:t>); (2) Americas B/C; (3) Eastern Mediterranean; (4) Europe A</w:t>
      </w:r>
      <w:r w:rsidR="008916CD" w:rsidRPr="00D9232D">
        <w:rPr>
          <w:sz w:val="24"/>
          <w:szCs w:val="24"/>
          <w:lang w:val="en-GB"/>
        </w:rPr>
        <w:t xml:space="preserve">; </w:t>
      </w:r>
      <w:r w:rsidR="002B3F0E" w:rsidRPr="00D9232D">
        <w:rPr>
          <w:sz w:val="24"/>
          <w:szCs w:val="24"/>
          <w:lang w:val="en-GB"/>
        </w:rPr>
        <w:t>(5) Europe B/C; (6) South-East Asian &amp; Western Pacific</w:t>
      </w:r>
      <w:r w:rsidR="00C576F3" w:rsidRPr="00D9232D">
        <w:rPr>
          <w:sz w:val="24"/>
          <w:szCs w:val="24"/>
          <w:lang w:val="en-GB"/>
        </w:rPr>
        <w:t>;</w:t>
      </w:r>
      <w:r w:rsidR="008916CD" w:rsidRPr="00D9232D">
        <w:rPr>
          <w:sz w:val="24"/>
          <w:szCs w:val="24"/>
          <w:lang w:val="en-GB"/>
        </w:rPr>
        <w:t xml:space="preserve"> and (7) Africa (Morocco)</w:t>
      </w:r>
      <w:r w:rsidR="002B3F0E" w:rsidRPr="00D9232D">
        <w:rPr>
          <w:sz w:val="24"/>
          <w:szCs w:val="24"/>
          <w:lang w:val="en-GB"/>
        </w:rPr>
        <w:t xml:space="preserve">. </w:t>
      </w:r>
      <w:bookmarkStart w:id="10" w:name="_Hlk63001606"/>
      <w:r w:rsidR="008916CD" w:rsidRPr="00D9232D">
        <w:rPr>
          <w:sz w:val="24"/>
          <w:szCs w:val="24"/>
          <w:lang w:val="en-GB"/>
        </w:rPr>
        <w:t>South-East</w:t>
      </w:r>
      <w:r w:rsidR="002B3F0E" w:rsidRPr="00D9232D">
        <w:rPr>
          <w:sz w:val="24"/>
          <w:szCs w:val="24"/>
          <w:lang w:val="en-GB"/>
        </w:rPr>
        <w:t xml:space="preserve"> Asian and </w:t>
      </w:r>
      <w:r w:rsidR="008916CD" w:rsidRPr="00D9232D">
        <w:rPr>
          <w:sz w:val="24"/>
          <w:szCs w:val="24"/>
          <w:lang w:val="en-GB"/>
        </w:rPr>
        <w:t xml:space="preserve">Western </w:t>
      </w:r>
      <w:r w:rsidR="002B3F0E" w:rsidRPr="00D9232D">
        <w:rPr>
          <w:sz w:val="24"/>
          <w:szCs w:val="24"/>
          <w:lang w:val="en-GB"/>
        </w:rPr>
        <w:t>Pacific</w:t>
      </w:r>
      <w:bookmarkEnd w:id="10"/>
      <w:r w:rsidR="002B3F0E" w:rsidRPr="00D9232D">
        <w:rPr>
          <w:sz w:val="24"/>
          <w:szCs w:val="24"/>
          <w:lang w:val="en-GB"/>
        </w:rPr>
        <w:t xml:space="preserve"> </w:t>
      </w:r>
      <w:r w:rsidR="008916CD" w:rsidRPr="00D9232D">
        <w:rPr>
          <w:sz w:val="24"/>
          <w:szCs w:val="24"/>
          <w:lang w:val="en-GB"/>
        </w:rPr>
        <w:t>r</w:t>
      </w:r>
      <w:r w:rsidR="002B3F0E" w:rsidRPr="00D9232D">
        <w:rPr>
          <w:sz w:val="24"/>
          <w:szCs w:val="24"/>
          <w:lang w:val="en-GB"/>
        </w:rPr>
        <w:t xml:space="preserve">egions </w:t>
      </w:r>
      <w:r w:rsidR="008916CD" w:rsidRPr="00D9232D">
        <w:rPr>
          <w:sz w:val="24"/>
          <w:szCs w:val="24"/>
          <w:lang w:val="en-GB"/>
        </w:rPr>
        <w:t>were combined since</w:t>
      </w:r>
      <w:r w:rsidR="002B3F0E" w:rsidRPr="00D9232D">
        <w:rPr>
          <w:sz w:val="24"/>
          <w:szCs w:val="24"/>
          <w:lang w:val="en-GB"/>
        </w:rPr>
        <w:t xml:space="preserve"> Thailand was the only PISA participant in the former. </w:t>
      </w:r>
      <w:r w:rsidR="008916CD" w:rsidRPr="00D9232D">
        <w:rPr>
          <w:sz w:val="24"/>
          <w:szCs w:val="24"/>
          <w:lang w:val="en-GB"/>
        </w:rPr>
        <w:t>Although</w:t>
      </w:r>
      <w:r w:rsidR="002B3F0E" w:rsidRPr="00D9232D">
        <w:rPr>
          <w:sz w:val="24"/>
          <w:szCs w:val="24"/>
          <w:lang w:val="en-GB"/>
        </w:rPr>
        <w:t xml:space="preserve"> Chinese Taipei and Hong Kong are not currently recognized </w:t>
      </w:r>
      <w:r w:rsidR="008916CD" w:rsidRPr="00D9232D">
        <w:rPr>
          <w:sz w:val="24"/>
          <w:szCs w:val="24"/>
          <w:lang w:val="en-GB"/>
        </w:rPr>
        <w:t xml:space="preserve">as </w:t>
      </w:r>
      <w:r w:rsidR="002B3F0E" w:rsidRPr="00D9232D">
        <w:rPr>
          <w:sz w:val="24"/>
          <w:szCs w:val="24"/>
          <w:lang w:val="en-GB"/>
        </w:rPr>
        <w:t>WHO member states</w:t>
      </w:r>
      <w:r w:rsidR="008916CD" w:rsidRPr="00D9232D">
        <w:rPr>
          <w:sz w:val="24"/>
          <w:szCs w:val="24"/>
          <w:lang w:val="en-GB"/>
        </w:rPr>
        <w:t>, they were included into the South-East Asian and Western Pacific region according to geography</w:t>
      </w:r>
      <w:r w:rsidR="002B3F0E" w:rsidRPr="00D9232D">
        <w:rPr>
          <w:sz w:val="24"/>
          <w:szCs w:val="24"/>
          <w:lang w:val="en-GB"/>
        </w:rPr>
        <w:t xml:space="preserve">. </w:t>
      </w:r>
    </w:p>
    <w:p w14:paraId="27849D83" w14:textId="7ED9B1D3" w:rsidR="00137A3B" w:rsidRPr="00D9232D" w:rsidRDefault="00137A3B" w:rsidP="004E289D">
      <w:pPr>
        <w:spacing w:line="480" w:lineRule="auto"/>
        <w:rPr>
          <w:sz w:val="24"/>
          <w:szCs w:val="24"/>
          <w:lang w:val="en-GB"/>
        </w:rPr>
      </w:pPr>
      <w:r w:rsidRPr="00137A3B">
        <w:rPr>
          <w:sz w:val="24"/>
          <w:szCs w:val="24"/>
          <w:lang w:val="en-GB"/>
        </w:rPr>
        <w:t xml:space="preserve">The study received the approval of the Ethics Committee of Research in Humans of the </w:t>
      </w:r>
      <w:r w:rsidR="000B6FD6">
        <w:rPr>
          <w:sz w:val="24"/>
          <w:szCs w:val="24"/>
          <w:lang w:val="en-GB"/>
        </w:rPr>
        <w:t>institution</w:t>
      </w:r>
      <w:r w:rsidRPr="00137A3B">
        <w:rPr>
          <w:sz w:val="24"/>
          <w:szCs w:val="24"/>
          <w:lang w:val="en-GB"/>
        </w:rPr>
        <w:t xml:space="preserve"> (register code 1510464)</w:t>
      </w:r>
      <w:r w:rsidR="00041E9E">
        <w:rPr>
          <w:sz w:val="24"/>
          <w:szCs w:val="24"/>
          <w:lang w:val="en-GB"/>
        </w:rPr>
        <w:t xml:space="preserve">, and adhered </w:t>
      </w:r>
      <w:r w:rsidR="00041E9E" w:rsidRPr="00041E9E">
        <w:rPr>
          <w:sz w:val="24"/>
          <w:szCs w:val="24"/>
          <w:lang w:val="en-GB"/>
        </w:rPr>
        <w:t>to the STROBE Statement recommendations</w:t>
      </w:r>
      <w:r w:rsidR="00E9107F">
        <w:rPr>
          <w:sz w:val="24"/>
          <w:szCs w:val="24"/>
          <w:lang w:val="en-GB"/>
        </w:rPr>
        <w:t xml:space="preserve"> </w:t>
      </w:r>
      <w:r w:rsidR="007C6FA3">
        <w:rPr>
          <w:sz w:val="24"/>
          <w:szCs w:val="24"/>
          <w:lang w:val="en-GB"/>
        </w:rPr>
        <w:fldChar w:fldCharType="begin" w:fldLock="1"/>
      </w:r>
      <w:r w:rsidR="00E9107F">
        <w:rPr>
          <w:sz w:val="24"/>
          <w:szCs w:val="24"/>
          <w:lang w:val="en-GB"/>
        </w:rPr>
        <w:instrText>ADDIN CSL_CITATION {"citationItems":[{"id":"ITEM-1","itemData":{"DOI":"10.1016/j.jclinepi.2007.11.008","ISSN":"08954356","PMID":"18313558","abstract":"Much of biomedical research is observational. The reporting of such research is often inadequate, which hampers the assessment of its strengths and weaknesses and of a study's generalizability. The Strengthening the Reporting of Observational Studies in Epidemiology (STROBE) Initiative developed recommendations on what should be included in an accurate and complete report of an observational study. We defined the scope of the recommendations to cover three main study designs: cohort, case-control, and cross-sectional studies. We convened a 2-day workshop in September 2004, with methodologists, researchers, and journal editors to draft a checklist of items. This list was subsequently revised during several meetings of the coordinating group and in e-mail discussions with the larger group of STROBE contributors, taking into account empirical evidence and methodological considerations. The workshop and the subsequent iterative process of consultation and revision resulted in a checklist of 22 items (the STROBE Statement) that relate to the title, abstract, introduction, methods, results, and discussion sections of articles. Eighteen items are common to all three study designs and four are specific for cohort, case-control, or cross-sectional studies. A detailed Explanation and Elaboration document is published separately and is freely available on the web sites of PLoS Medicine, Annals of Internal Medicine, and Epidemiology. We hope that the STROBE Statement will contribute to improving the quality of reporting of observational studies. © 2007 The authors.","author":[{"dropping-particle":"","family":"Elm","given":"Erik","non-dropping-particle":"von","parse-names":false,"suffix":""},{"dropping-particle":"","family":"Altman","given":"Douglas G.","non-dropping-particle":"","parse-names":false,"suffix":""},{"dropping-particle":"","family":"Egger","given":"Matthias","non-dropping-particle":"","parse-names":false,"suffix":""},{"dropping-particle":"","family":"Pocock","given":"Stuart J.","non-dropping-particle":"","parse-names":false,"suffix":""},{"dropping-particle":"","family":"Gøtzsche","given":"Peter C.","non-dropping-particle":"","parse-names":false,"suffix":""},{"dropping-particle":"","family":"Vandenbroucke","given":"Jan P.","non-dropping-particle":"","parse-names":false,"suffix":""}],"container-title":"Journal of Clinical Epidemiology","id":"ITEM-1","issue":"4","issued":{"date-parts":[["2008"]]},"page":"344-349","title":"The Strengthening the Reporting of Observational Studies in Epidemiology (STROBE) statement: guidelines for reporting observational studies","type":"article-journal","volume":"61"},"uris":["http://www.mendeley.com/documents/?uuid=864bc734-d381-4086-b194-2f9535d77377"]}],"mendeley":{"formattedCitation":"[15]","plainTextFormattedCitation":"[15]","previouslyFormattedCitation":"[15]"},"properties":{"noteIndex":0},"schema":"https://github.com/citation-style-language/schema/raw/master/csl-citation.json"}</w:instrText>
      </w:r>
      <w:r w:rsidR="007C6FA3">
        <w:rPr>
          <w:sz w:val="24"/>
          <w:szCs w:val="24"/>
          <w:lang w:val="en-GB"/>
        </w:rPr>
        <w:fldChar w:fldCharType="separate"/>
      </w:r>
      <w:r w:rsidR="004E289D" w:rsidRPr="004E289D">
        <w:rPr>
          <w:noProof/>
          <w:sz w:val="24"/>
          <w:szCs w:val="24"/>
          <w:lang w:val="en-GB"/>
        </w:rPr>
        <w:t>[15]</w:t>
      </w:r>
      <w:r w:rsidR="007C6FA3">
        <w:rPr>
          <w:sz w:val="24"/>
          <w:szCs w:val="24"/>
          <w:lang w:val="en-GB"/>
        </w:rPr>
        <w:fldChar w:fldCharType="end"/>
      </w:r>
      <w:r w:rsidR="00E9107F">
        <w:rPr>
          <w:sz w:val="24"/>
          <w:szCs w:val="24"/>
          <w:lang w:val="en-GB"/>
        </w:rPr>
        <w:t>.</w:t>
      </w:r>
    </w:p>
    <w:p w14:paraId="7AAF4B4C" w14:textId="3079040E" w:rsidR="00713A31" w:rsidRPr="00D9232D" w:rsidRDefault="00442540" w:rsidP="001612B0">
      <w:pPr>
        <w:pStyle w:val="Heading2"/>
      </w:pPr>
      <w:r>
        <w:t>Age of first exposure</w:t>
      </w:r>
      <w:r w:rsidR="00384203" w:rsidRPr="00D9232D">
        <w:t xml:space="preserve"> </w:t>
      </w:r>
      <w:r>
        <w:t>to</w:t>
      </w:r>
      <w:r w:rsidR="00384203" w:rsidRPr="00D9232D">
        <w:t xml:space="preserve"> </w:t>
      </w:r>
      <w:r w:rsidR="00D9232D" w:rsidRPr="00D9232D">
        <w:t>Internet</w:t>
      </w:r>
      <w:r w:rsidR="00AE1C19">
        <w:t xml:space="preserve"> </w:t>
      </w:r>
    </w:p>
    <w:p w14:paraId="72A80E54" w14:textId="2D9D67E7" w:rsidR="00713A31" w:rsidRPr="00D9232D" w:rsidRDefault="00384203" w:rsidP="004E289D">
      <w:pPr>
        <w:spacing w:line="480" w:lineRule="auto"/>
        <w:rPr>
          <w:sz w:val="24"/>
          <w:szCs w:val="24"/>
          <w:lang w:val="en-GB"/>
        </w:rPr>
      </w:pPr>
      <w:r w:rsidRPr="00D9232D">
        <w:rPr>
          <w:sz w:val="24"/>
          <w:szCs w:val="24"/>
          <w:lang w:val="en-GB"/>
        </w:rPr>
        <w:t xml:space="preserve">The exposure variable was self-reported by participants through the following question: </w:t>
      </w:r>
      <w:r w:rsidR="001B4CCA" w:rsidRPr="00D9232D">
        <w:rPr>
          <w:sz w:val="24"/>
          <w:szCs w:val="24"/>
          <w:lang w:val="en-GB"/>
        </w:rPr>
        <w:t xml:space="preserve">“How old were you when you first accessed the </w:t>
      </w:r>
      <w:r w:rsidR="00D9232D">
        <w:rPr>
          <w:sz w:val="24"/>
          <w:szCs w:val="24"/>
          <w:lang w:val="en-GB"/>
        </w:rPr>
        <w:t>Internet</w:t>
      </w:r>
      <w:r w:rsidR="001B4CCA" w:rsidRPr="00D9232D">
        <w:rPr>
          <w:sz w:val="24"/>
          <w:szCs w:val="24"/>
          <w:lang w:val="en-GB"/>
        </w:rPr>
        <w:t xml:space="preserve">?”. Answers comprised </w:t>
      </w:r>
      <w:r w:rsidR="001B1788" w:rsidRPr="00D9232D">
        <w:rPr>
          <w:sz w:val="24"/>
          <w:szCs w:val="24"/>
          <w:lang w:val="en-GB"/>
        </w:rPr>
        <w:t xml:space="preserve">the following options: “3 years old or younger”, “4-6 years old”, “7-9 years </w:t>
      </w:r>
      <w:r w:rsidR="001B1788" w:rsidRPr="00D9232D">
        <w:rPr>
          <w:sz w:val="24"/>
          <w:szCs w:val="24"/>
          <w:lang w:val="en-GB"/>
        </w:rPr>
        <w:lastRenderedPageBreak/>
        <w:t xml:space="preserve">old”, “10-12 years old”, “13 years old or older”, and “I have never accessed the </w:t>
      </w:r>
      <w:r w:rsidR="00D9232D">
        <w:rPr>
          <w:sz w:val="24"/>
          <w:szCs w:val="24"/>
          <w:lang w:val="en-GB"/>
        </w:rPr>
        <w:t>Internet</w:t>
      </w:r>
      <w:r w:rsidR="001B1788" w:rsidRPr="00D9232D">
        <w:rPr>
          <w:sz w:val="24"/>
          <w:szCs w:val="24"/>
          <w:lang w:val="en-GB"/>
        </w:rPr>
        <w:t xml:space="preserve">”. </w:t>
      </w:r>
      <w:r w:rsidR="00F1101D" w:rsidRPr="00D9232D">
        <w:rPr>
          <w:sz w:val="24"/>
          <w:szCs w:val="24"/>
          <w:lang w:val="en-GB"/>
        </w:rPr>
        <w:t xml:space="preserve">To attenuate the possibility of a recall bias for </w:t>
      </w:r>
      <w:r w:rsidR="00501F99" w:rsidRPr="00D9232D">
        <w:rPr>
          <w:sz w:val="24"/>
          <w:szCs w:val="24"/>
          <w:lang w:val="en-GB"/>
        </w:rPr>
        <w:t>those reporting</w:t>
      </w:r>
      <w:r w:rsidR="00F1101D" w:rsidRPr="00D9232D">
        <w:rPr>
          <w:sz w:val="24"/>
          <w:szCs w:val="24"/>
          <w:lang w:val="en-GB"/>
        </w:rPr>
        <w:t xml:space="preserve"> earlier </w:t>
      </w:r>
      <w:r w:rsidR="00EB699E">
        <w:rPr>
          <w:sz w:val="24"/>
          <w:szCs w:val="24"/>
          <w:lang w:val="en-GB"/>
        </w:rPr>
        <w:t>exposure</w:t>
      </w:r>
      <w:r w:rsidR="00EB699E" w:rsidRPr="00D9232D">
        <w:rPr>
          <w:sz w:val="24"/>
          <w:szCs w:val="24"/>
          <w:lang w:val="en-GB"/>
        </w:rPr>
        <w:t xml:space="preserve"> </w:t>
      </w:r>
      <w:r w:rsidR="00F1101D" w:rsidRPr="00D9232D">
        <w:rPr>
          <w:sz w:val="24"/>
          <w:szCs w:val="24"/>
          <w:lang w:val="en-GB"/>
        </w:rPr>
        <w:t xml:space="preserve">ages, this variable was later categorized into those having initiated the </w:t>
      </w:r>
      <w:r w:rsidR="00D9232D">
        <w:rPr>
          <w:sz w:val="24"/>
          <w:szCs w:val="24"/>
          <w:lang w:val="en-GB"/>
        </w:rPr>
        <w:t>Internet</w:t>
      </w:r>
      <w:r w:rsidR="00F1101D" w:rsidRPr="00D9232D">
        <w:rPr>
          <w:sz w:val="24"/>
          <w:szCs w:val="24"/>
          <w:lang w:val="en-GB"/>
        </w:rPr>
        <w:t xml:space="preserve"> at age 9 or lower, from 10 to 12 years, and 13 years or over.</w:t>
      </w:r>
    </w:p>
    <w:p w14:paraId="4806F75A" w14:textId="1BC82434" w:rsidR="00713A31" w:rsidRPr="00D9232D" w:rsidRDefault="00D9232D" w:rsidP="001612B0">
      <w:pPr>
        <w:pStyle w:val="Heading2"/>
        <w:rPr>
          <w:lang w:eastAsia="ja-JP"/>
        </w:rPr>
      </w:pPr>
      <w:r>
        <w:t xml:space="preserve">Heavy </w:t>
      </w:r>
      <w:r w:rsidRPr="00D9232D">
        <w:t>Internet</w:t>
      </w:r>
      <w:r w:rsidR="001C33EA">
        <w:t xml:space="preserve"> use</w:t>
      </w:r>
    </w:p>
    <w:p w14:paraId="27561D0D" w14:textId="69D682A5" w:rsidR="00501F99" w:rsidRPr="00D9232D" w:rsidRDefault="00384203" w:rsidP="004E289D">
      <w:pPr>
        <w:spacing w:line="480" w:lineRule="auto"/>
        <w:rPr>
          <w:sz w:val="24"/>
          <w:szCs w:val="24"/>
          <w:lang w:val="en-GB"/>
        </w:rPr>
      </w:pPr>
      <w:r w:rsidRPr="00D9232D">
        <w:rPr>
          <w:sz w:val="24"/>
          <w:szCs w:val="24"/>
          <w:lang w:val="en-GB"/>
        </w:rPr>
        <w:t xml:space="preserve">The outcome variable was self-reported by participants through the following questions: </w:t>
      </w:r>
      <w:r w:rsidR="008E4D1F" w:rsidRPr="00D9232D">
        <w:rPr>
          <w:sz w:val="24"/>
          <w:szCs w:val="24"/>
          <w:lang w:val="en-GB"/>
        </w:rPr>
        <w:t xml:space="preserve">“During a typical weekday, for how long do you use the </w:t>
      </w:r>
      <w:r w:rsidR="00D9232D">
        <w:rPr>
          <w:sz w:val="24"/>
          <w:szCs w:val="24"/>
          <w:lang w:val="en-GB"/>
        </w:rPr>
        <w:t>Internet</w:t>
      </w:r>
      <w:r w:rsidR="008E4D1F" w:rsidRPr="00D9232D">
        <w:rPr>
          <w:sz w:val="24"/>
          <w:szCs w:val="24"/>
          <w:lang w:val="en-GB"/>
        </w:rPr>
        <w:t xml:space="preserve"> at school?”, “During a typical weekday, for how long do you use the </w:t>
      </w:r>
      <w:r w:rsidR="00D9232D">
        <w:rPr>
          <w:sz w:val="24"/>
          <w:szCs w:val="24"/>
          <w:lang w:val="en-GB"/>
        </w:rPr>
        <w:t>Internet</w:t>
      </w:r>
      <w:r w:rsidR="008E4D1F" w:rsidRPr="00D9232D">
        <w:rPr>
          <w:sz w:val="24"/>
          <w:szCs w:val="24"/>
          <w:lang w:val="en-GB"/>
        </w:rPr>
        <w:t xml:space="preserve"> outside of school?”, “On a typical weekend day, for how long do you use the </w:t>
      </w:r>
      <w:r w:rsidR="00D9232D">
        <w:rPr>
          <w:sz w:val="24"/>
          <w:szCs w:val="24"/>
          <w:lang w:val="en-GB"/>
        </w:rPr>
        <w:t>Internet</w:t>
      </w:r>
      <w:r w:rsidR="008E4D1F" w:rsidRPr="00D9232D">
        <w:rPr>
          <w:sz w:val="24"/>
          <w:szCs w:val="24"/>
          <w:lang w:val="en-GB"/>
        </w:rPr>
        <w:t xml:space="preserve"> outside of school?”</w:t>
      </w:r>
      <w:r w:rsidR="00A21EF7" w:rsidRPr="00D9232D">
        <w:rPr>
          <w:sz w:val="24"/>
          <w:szCs w:val="24"/>
          <w:lang w:val="en-GB"/>
        </w:rPr>
        <w:t xml:space="preserve">. Potential answers comprised </w:t>
      </w:r>
      <w:r w:rsidR="00CF779A" w:rsidRPr="00D9232D">
        <w:rPr>
          <w:sz w:val="24"/>
          <w:szCs w:val="24"/>
          <w:lang w:val="en-GB"/>
        </w:rPr>
        <w:t>“No time”, “1-30 minutes per day”, “31-60 minutes per day”, “Between 1 hour and 2 hours per day”, “Between 2 hours and 4 hours per day</w:t>
      </w:r>
      <w:r w:rsidR="00CB5302" w:rsidRPr="00D9232D">
        <w:rPr>
          <w:sz w:val="24"/>
          <w:szCs w:val="24"/>
          <w:lang w:val="en-GB"/>
        </w:rPr>
        <w:t>”, “</w:t>
      </w:r>
      <w:r w:rsidR="00CF779A" w:rsidRPr="00D9232D">
        <w:rPr>
          <w:sz w:val="24"/>
          <w:szCs w:val="24"/>
          <w:lang w:val="en-GB"/>
        </w:rPr>
        <w:t xml:space="preserve">Between 4 hours and 6 hours per day”, and “More than 6 hours per day”. </w:t>
      </w:r>
      <w:bookmarkStart w:id="11" w:name="_Hlk76997140"/>
      <w:r w:rsidR="00CB5302" w:rsidRPr="00D9232D">
        <w:rPr>
          <w:sz w:val="24"/>
          <w:szCs w:val="24"/>
          <w:lang w:val="en-GB"/>
        </w:rPr>
        <w:t xml:space="preserve">According to prior research, use of the </w:t>
      </w:r>
      <w:r w:rsidR="00D9232D">
        <w:rPr>
          <w:sz w:val="24"/>
          <w:szCs w:val="24"/>
          <w:lang w:val="en-GB"/>
        </w:rPr>
        <w:t>Internet</w:t>
      </w:r>
      <w:r w:rsidR="00CB5302" w:rsidRPr="00D9232D">
        <w:rPr>
          <w:sz w:val="24"/>
          <w:szCs w:val="24"/>
          <w:lang w:val="en-GB"/>
        </w:rPr>
        <w:t xml:space="preserve"> was </w:t>
      </w:r>
      <w:r w:rsidR="00924A82" w:rsidRPr="00D9232D">
        <w:rPr>
          <w:sz w:val="24"/>
          <w:szCs w:val="24"/>
          <w:lang w:val="en-GB"/>
        </w:rPr>
        <w:t>categorized into</w:t>
      </w:r>
      <w:r w:rsidR="00CB5302" w:rsidRPr="00D9232D">
        <w:rPr>
          <w:sz w:val="24"/>
          <w:szCs w:val="24"/>
          <w:lang w:val="en-GB"/>
        </w:rPr>
        <w:t xml:space="preserve"> those who use</w:t>
      </w:r>
      <w:r w:rsidR="00924A82" w:rsidRPr="00D9232D">
        <w:rPr>
          <w:sz w:val="24"/>
          <w:szCs w:val="24"/>
          <w:lang w:val="en-GB"/>
        </w:rPr>
        <w:t>d</w:t>
      </w:r>
      <w:r w:rsidR="00CB5302" w:rsidRPr="00D9232D">
        <w:rPr>
          <w:sz w:val="24"/>
          <w:szCs w:val="24"/>
          <w:lang w:val="en-GB"/>
        </w:rPr>
        <w:t xml:space="preserve"> it </w:t>
      </w:r>
      <w:r w:rsidR="00924A82" w:rsidRPr="00D9232D">
        <w:rPr>
          <w:sz w:val="24"/>
          <w:szCs w:val="24"/>
          <w:lang w:val="en-GB"/>
        </w:rPr>
        <w:t>from no time to</w:t>
      </w:r>
      <w:r w:rsidR="00CB5302" w:rsidRPr="00D9232D">
        <w:rPr>
          <w:sz w:val="24"/>
          <w:szCs w:val="24"/>
          <w:lang w:val="en-GB"/>
        </w:rPr>
        <w:t xml:space="preserve"> 2 hours</w:t>
      </w:r>
      <w:r w:rsidR="00924A82" w:rsidRPr="00D9232D">
        <w:rPr>
          <w:sz w:val="24"/>
          <w:szCs w:val="24"/>
          <w:lang w:val="en-GB"/>
        </w:rPr>
        <w:t xml:space="preserve">, </w:t>
      </w:r>
      <w:r w:rsidR="00CB5302" w:rsidRPr="00D9232D">
        <w:rPr>
          <w:sz w:val="24"/>
          <w:szCs w:val="24"/>
          <w:lang w:val="en-GB"/>
        </w:rPr>
        <w:t xml:space="preserve">and those who </w:t>
      </w:r>
      <w:r w:rsidR="00924A82" w:rsidRPr="00D9232D">
        <w:rPr>
          <w:sz w:val="24"/>
          <w:szCs w:val="24"/>
          <w:lang w:val="en-GB"/>
        </w:rPr>
        <w:t xml:space="preserve">used from more than 2 hours (heavy </w:t>
      </w:r>
      <w:r w:rsidR="006944A4">
        <w:rPr>
          <w:sz w:val="24"/>
          <w:szCs w:val="24"/>
          <w:lang w:val="en-GB"/>
        </w:rPr>
        <w:t>Internet use</w:t>
      </w:r>
      <w:r w:rsidR="00924A82" w:rsidRPr="00D9232D">
        <w:rPr>
          <w:sz w:val="24"/>
          <w:szCs w:val="24"/>
          <w:lang w:val="en-GB"/>
        </w:rPr>
        <w:t>) in each of the three examined domains (i.e., at school, during weekdays, and during weekends)</w:t>
      </w:r>
      <w:r w:rsidR="00E9107F">
        <w:rPr>
          <w:sz w:val="24"/>
          <w:szCs w:val="24"/>
          <w:lang w:val="en-GB"/>
        </w:rPr>
        <w:t xml:space="preserve"> </w:t>
      </w:r>
      <w:r w:rsidR="00982051" w:rsidRPr="00D9232D">
        <w:rPr>
          <w:sz w:val="24"/>
          <w:szCs w:val="24"/>
          <w:lang w:val="en-GB"/>
        </w:rPr>
        <w:fldChar w:fldCharType="begin" w:fldLock="1"/>
      </w:r>
      <w:r w:rsidR="00E9107F">
        <w:rPr>
          <w:sz w:val="24"/>
          <w:szCs w:val="24"/>
          <w:lang w:val="en-GB"/>
        </w:rPr>
        <w:instrText>ADDIN CSL_CITATION {"citationItems":[{"id":"ITEM-1","itemData":{"DOI":"10.1542/peds.2010-1235","ISSN":"0031-4005","PMID":"21242218","abstract":"OBJECTIVE: To examine the relationship between different Internetuse intensities and adolescent mental and somatic health. METHODS: Data were drawn from the 2002 Swiss Multicenter Adolescent Survey on Health, a nationally representative survey of adolescents aged 16 to 20 years in post-mandatory school. From a selfadministered anonymous questionnaire, 3906 adolescent boys and 3305 girls were categorized into 4 groups according to their intensity of Internet use: heavy Internet users (HIUs; &gt;2 hours/day), regular Internet users (RIUs; several days per week and ≤2 hours/day), occasional users (≤1 hour/week), and non-Internet users (NIUs; no use in the previous month). Health factors examined were perceived health, depression, overweight, headaches and back pain, and insufficient sleep. RESULTS: In controlled multivariate analysis, using RIUs as a reference, HIUs of both genders were more likely to report higher depressive scores, whereas only male users were found at increased risk of overweight and female users at increased risk of insufficient sleep. Male NIUs and female NIUs and occasional users also were found at increased risk of higher depressive scores. Back-pain complaints were found predominantly among male NIUs. CONCLUSIONS: Our study provides evidence of a U-shaped relationship between intensity of Internet use and poorer mental health of adolescents. In addition, HIUs were confirmed at increased risk for somatic health problems. Thus, health professionals should be on the alert when caring for adolescents who report either heavy Internet use or very little/none. Also, they should consider regular Internet use as a normative behavior without major health consequence. Copyright © 2011 by the American Academy of Pediatrics.","author":[{"dropping-particle":"","family":"Belanger","given":"R. E.","non-dropping-particle":"","parse-names":false,"suffix":""},{"dropping-particle":"","family":"Akre","given":"Christina","non-dropping-particle":"","parse-names":false,"suffix":""},{"dropping-particle":"","family":"Berchtold","given":"André","non-dropping-particle":"","parse-names":false,"suffix":""},{"dropping-particle":"","family":"Michaud","given":"P.-A.","non-dropping-particle":"","parse-names":false,"suffix":""}],"container-title":"PEDIATRICS","id":"ITEM-1","issue":"2","issued":{"date-parts":[["2011","2","1"]]},"page":"e330-e335","title":"A U-Shaped Association Between Intensity of Internet Use and Adolescent Health","type":"article-journal","volume":"127"},"uris":["http://www.mendeley.com/documents/?uuid=014a450c-3045-4951-bb85-e8075a4286cd"]}],"mendeley":{"formattedCitation":"[16]","plainTextFormattedCitation":"[16]","previouslyFormattedCitation":"[16]"},"properties":{"noteIndex":0},"schema":"https://github.com/citation-style-language/schema/raw/master/csl-citation.json"}</w:instrText>
      </w:r>
      <w:r w:rsidR="00982051" w:rsidRPr="00D9232D">
        <w:rPr>
          <w:sz w:val="24"/>
          <w:szCs w:val="24"/>
          <w:lang w:val="en-GB"/>
        </w:rPr>
        <w:fldChar w:fldCharType="separate"/>
      </w:r>
      <w:r w:rsidR="004E289D" w:rsidRPr="004E289D">
        <w:rPr>
          <w:noProof/>
          <w:sz w:val="24"/>
          <w:szCs w:val="24"/>
          <w:lang w:val="en-GB"/>
        </w:rPr>
        <w:t>[16]</w:t>
      </w:r>
      <w:r w:rsidR="00982051" w:rsidRPr="00D9232D">
        <w:rPr>
          <w:sz w:val="24"/>
          <w:szCs w:val="24"/>
          <w:lang w:val="en-GB"/>
        </w:rPr>
        <w:fldChar w:fldCharType="end"/>
      </w:r>
      <w:r w:rsidR="00E9107F">
        <w:rPr>
          <w:sz w:val="24"/>
          <w:szCs w:val="24"/>
          <w:lang w:val="en-GB"/>
        </w:rPr>
        <w:t>.</w:t>
      </w:r>
    </w:p>
    <w:bookmarkEnd w:id="11"/>
    <w:p w14:paraId="7AD87D56" w14:textId="6821AC4A" w:rsidR="00384203" w:rsidRPr="00D9232D" w:rsidRDefault="006A6441" w:rsidP="001612B0">
      <w:pPr>
        <w:pStyle w:val="Heading2"/>
      </w:pPr>
      <w:r w:rsidRPr="00D9232D">
        <w:t>Socioeconomic</w:t>
      </w:r>
      <w:r w:rsidR="00140388" w:rsidRPr="00D9232D">
        <w:t xml:space="preserve"> status</w:t>
      </w:r>
    </w:p>
    <w:p w14:paraId="4FBB3AD0" w14:textId="66EEF194" w:rsidR="00713A31" w:rsidRPr="00D9232D" w:rsidRDefault="00A14E5F" w:rsidP="004E289D">
      <w:pPr>
        <w:spacing w:line="480" w:lineRule="auto"/>
        <w:rPr>
          <w:sz w:val="24"/>
          <w:szCs w:val="24"/>
          <w:lang w:val="en-GB"/>
        </w:rPr>
      </w:pPr>
      <w:r>
        <w:rPr>
          <w:sz w:val="24"/>
          <w:szCs w:val="24"/>
          <w:lang w:val="en-GB"/>
        </w:rPr>
        <w:t>P</w:t>
      </w:r>
      <w:r w:rsidR="00140388" w:rsidRPr="00D9232D">
        <w:rPr>
          <w:sz w:val="24"/>
          <w:szCs w:val="24"/>
          <w:lang w:val="en-GB"/>
        </w:rPr>
        <w:t>rior research</w:t>
      </w:r>
      <w:r>
        <w:rPr>
          <w:sz w:val="24"/>
          <w:szCs w:val="24"/>
          <w:lang w:val="en-GB"/>
        </w:rPr>
        <w:t xml:space="preserve"> has</w:t>
      </w:r>
      <w:r w:rsidR="00140388" w:rsidRPr="00D9232D">
        <w:rPr>
          <w:sz w:val="24"/>
          <w:szCs w:val="24"/>
          <w:lang w:val="en-GB"/>
        </w:rPr>
        <w:t xml:space="preserve"> identified </w:t>
      </w:r>
      <w:r w:rsidR="00C33D47" w:rsidRPr="00D9232D">
        <w:rPr>
          <w:sz w:val="24"/>
          <w:szCs w:val="24"/>
          <w:lang w:val="en-GB"/>
        </w:rPr>
        <w:t xml:space="preserve">inverse </w:t>
      </w:r>
      <w:r w:rsidR="00140388" w:rsidRPr="00D9232D">
        <w:rPr>
          <w:sz w:val="24"/>
          <w:szCs w:val="24"/>
          <w:lang w:val="en-GB"/>
        </w:rPr>
        <w:t xml:space="preserve">associations between </w:t>
      </w:r>
      <w:r w:rsidR="00D9232D">
        <w:rPr>
          <w:sz w:val="24"/>
          <w:szCs w:val="24"/>
          <w:lang w:val="en-GB"/>
        </w:rPr>
        <w:t>Internet</w:t>
      </w:r>
      <w:r>
        <w:rPr>
          <w:sz w:val="24"/>
          <w:szCs w:val="24"/>
          <w:lang w:val="en-GB"/>
        </w:rPr>
        <w:t xml:space="preserve"> use</w:t>
      </w:r>
      <w:r w:rsidR="00140388" w:rsidRPr="00D9232D">
        <w:rPr>
          <w:sz w:val="24"/>
          <w:szCs w:val="24"/>
          <w:lang w:val="en-GB"/>
        </w:rPr>
        <w:t xml:space="preserve"> and socioeconomic status</w:t>
      </w:r>
      <w:r>
        <w:rPr>
          <w:sz w:val="24"/>
          <w:szCs w:val="24"/>
          <w:lang w:val="en-GB"/>
        </w:rPr>
        <w:t xml:space="preserve"> (SES)</w:t>
      </w:r>
      <w:r w:rsidR="00140388" w:rsidRPr="00D9232D">
        <w:rPr>
          <w:sz w:val="24"/>
          <w:szCs w:val="24"/>
          <w:lang w:val="en-GB"/>
        </w:rPr>
        <w:t xml:space="preserve">, </w:t>
      </w:r>
      <w:r>
        <w:rPr>
          <w:sz w:val="24"/>
          <w:szCs w:val="24"/>
          <w:lang w:val="en-GB"/>
        </w:rPr>
        <w:t xml:space="preserve">and thus SES was incorporated into statistical models as a </w:t>
      </w:r>
      <w:r w:rsidR="00140388" w:rsidRPr="00D9232D">
        <w:rPr>
          <w:sz w:val="24"/>
          <w:szCs w:val="24"/>
          <w:lang w:val="en-GB"/>
        </w:rPr>
        <w:t>control variable</w:t>
      </w:r>
      <w:r w:rsidR="00E9107F">
        <w:rPr>
          <w:sz w:val="24"/>
          <w:szCs w:val="24"/>
          <w:lang w:val="en-GB"/>
        </w:rPr>
        <w:t xml:space="preserve"> </w:t>
      </w:r>
      <w:r w:rsidR="00C33D47" w:rsidRPr="00D9232D">
        <w:rPr>
          <w:sz w:val="24"/>
          <w:szCs w:val="24"/>
          <w:lang w:val="en-GB"/>
        </w:rPr>
        <w:fldChar w:fldCharType="begin" w:fldLock="1"/>
      </w:r>
      <w:r w:rsidR="00E9107F">
        <w:rPr>
          <w:sz w:val="24"/>
          <w:szCs w:val="24"/>
          <w:lang w:val="en-GB"/>
        </w:rPr>
        <w:instrText>ADDIN CSL_CITATION {"citationItems":[{"id":"ITEM-1","itemData":{"DOI":"10.1177/1461444817725918","ISSN":"14617315","abstract":"This longitudinal study explores differences in Internet access and use among school-aged children in Italian-speaking Switzerland and whether and how these differences contribute to inequalities in academic performance. Applying multilevel structural equation modeling with two-wave original survey data from 843 students, their parents, as well as students’ end-term school grades, we show that a family’s socio-economic status indirectly affects children’s school grades as lower parental income leads children to use the Internet more frequently for entertainment and online communication purposes. This form of Internet use also increases as children have more personal digital media devices. As children’s increased use of the Internet for entertainment and online communication worsens their academic performance, our results suggest that social inequalities due to children’s socio-economic status are reinforced by a second-order digital divide. We discuss potential reasons for our findings as well as their implications and recommendations for possible interventions.","author":[{"dropping-particle":"","family":"Camerini","given":"Anne Linda","non-dropping-particle":"","parse-names":false,"suffix":""},{"dropping-particle":"","family":"Schulz","given":"Peter J.","non-dropping-particle":"","parse-names":false,"suffix":""},{"dropping-particle":"","family":"Jeannet","given":"Anne Marie","non-dropping-particle":"","parse-names":false,"suffix":""}],"container-title":"New Media and Society","id":"ITEM-1","issue":"7","issued":{"date-parts":[["2018"]]},"page":"2489-2508","title":"The social inequalities of Internet access, its use, and the impact on children’s academic performance: Evidence from a longitudinal study in Switzerland","type":"article-journal","volume":"20"},"uris":["http://www.mendeley.com/documents/?uuid=260be4bc-6b42-457d-a088-c792f2ad55c5"]}],"mendeley":{"formattedCitation":"[17]","plainTextFormattedCitation":"[17]","previouslyFormattedCitation":"[17]"},"properties":{"noteIndex":0},"schema":"https://github.com/citation-style-language/schema/raw/master/csl-citation.json"}</w:instrText>
      </w:r>
      <w:r w:rsidR="00C33D47" w:rsidRPr="00D9232D">
        <w:rPr>
          <w:sz w:val="24"/>
          <w:szCs w:val="24"/>
          <w:lang w:val="en-GB"/>
        </w:rPr>
        <w:fldChar w:fldCharType="separate"/>
      </w:r>
      <w:r w:rsidR="004E289D" w:rsidRPr="004E289D">
        <w:rPr>
          <w:noProof/>
          <w:sz w:val="24"/>
          <w:szCs w:val="24"/>
          <w:lang w:val="en-GB"/>
        </w:rPr>
        <w:t>[17]</w:t>
      </w:r>
      <w:r w:rsidR="00C33D47" w:rsidRPr="00D9232D">
        <w:rPr>
          <w:sz w:val="24"/>
          <w:szCs w:val="24"/>
          <w:lang w:val="en-GB"/>
        </w:rPr>
        <w:fldChar w:fldCharType="end"/>
      </w:r>
      <w:r w:rsidR="00E9107F">
        <w:rPr>
          <w:sz w:val="24"/>
          <w:szCs w:val="24"/>
          <w:lang w:val="en-GB"/>
        </w:rPr>
        <w:t>.</w:t>
      </w:r>
      <w:r w:rsidR="00452479" w:rsidRPr="00D9232D">
        <w:rPr>
          <w:sz w:val="24"/>
          <w:szCs w:val="24"/>
          <w:lang w:val="en-GB"/>
        </w:rPr>
        <w:t xml:space="preserve"> </w:t>
      </w:r>
      <w:r w:rsidR="00C33D47" w:rsidRPr="00D9232D">
        <w:rPr>
          <w:sz w:val="24"/>
          <w:szCs w:val="24"/>
          <w:lang w:val="en-GB"/>
        </w:rPr>
        <w:t xml:space="preserve">Reported </w:t>
      </w:r>
      <w:r w:rsidR="00452479" w:rsidRPr="00D9232D">
        <w:rPr>
          <w:sz w:val="24"/>
          <w:szCs w:val="24"/>
          <w:lang w:val="en-GB"/>
        </w:rPr>
        <w:t xml:space="preserve">family wealth possessions, a continuous variable estimated using </w:t>
      </w:r>
      <w:r w:rsidR="00140388" w:rsidRPr="00D9232D">
        <w:rPr>
          <w:sz w:val="24"/>
          <w:szCs w:val="24"/>
          <w:lang w:val="en-GB"/>
        </w:rPr>
        <w:t xml:space="preserve">OECD </w:t>
      </w:r>
      <w:r w:rsidR="00452479" w:rsidRPr="00D9232D">
        <w:rPr>
          <w:sz w:val="24"/>
          <w:szCs w:val="24"/>
          <w:lang w:val="en-GB"/>
        </w:rPr>
        <w:t>item response theory scaling</w:t>
      </w:r>
      <w:r w:rsidR="00C33D47" w:rsidRPr="00D9232D">
        <w:rPr>
          <w:sz w:val="24"/>
          <w:szCs w:val="24"/>
          <w:lang w:val="en-GB"/>
        </w:rPr>
        <w:t xml:space="preserve"> including nine standardised questions </w:t>
      </w:r>
      <w:r w:rsidR="00845B6D" w:rsidRPr="00D9232D">
        <w:rPr>
          <w:sz w:val="24"/>
          <w:szCs w:val="24"/>
          <w:lang w:val="en-GB"/>
        </w:rPr>
        <w:t>about</w:t>
      </w:r>
      <w:r w:rsidR="00C33D47" w:rsidRPr="00D9232D">
        <w:rPr>
          <w:sz w:val="24"/>
          <w:szCs w:val="24"/>
          <w:lang w:val="en-GB"/>
        </w:rPr>
        <w:t xml:space="preserve"> possessions in and characteristics of the home, served to estimate </w:t>
      </w:r>
      <w:r w:rsidR="002D54D1">
        <w:rPr>
          <w:sz w:val="24"/>
          <w:szCs w:val="24"/>
          <w:lang w:val="en-GB"/>
        </w:rPr>
        <w:lastRenderedPageBreak/>
        <w:t>SES</w:t>
      </w:r>
      <w:r w:rsidR="00C33D47" w:rsidRPr="00D9232D">
        <w:rPr>
          <w:sz w:val="24"/>
          <w:szCs w:val="24"/>
          <w:lang w:val="en-GB"/>
        </w:rPr>
        <w:t xml:space="preserve">. These included questions on whether the </w:t>
      </w:r>
      <w:r w:rsidR="00845B6D" w:rsidRPr="00D9232D">
        <w:rPr>
          <w:sz w:val="24"/>
          <w:szCs w:val="24"/>
          <w:lang w:val="en-GB"/>
        </w:rPr>
        <w:t xml:space="preserve">student had </w:t>
      </w:r>
      <w:r w:rsidR="006E2991" w:rsidRPr="00D9232D">
        <w:rPr>
          <w:sz w:val="24"/>
          <w:szCs w:val="24"/>
          <w:lang w:val="en-GB"/>
        </w:rPr>
        <w:t>their</w:t>
      </w:r>
      <w:r w:rsidR="00845B6D" w:rsidRPr="00D9232D">
        <w:rPr>
          <w:sz w:val="24"/>
          <w:szCs w:val="24"/>
          <w:lang w:val="en-GB"/>
        </w:rPr>
        <w:t xml:space="preserve"> own</w:t>
      </w:r>
      <w:r>
        <w:rPr>
          <w:sz w:val="24"/>
          <w:szCs w:val="24"/>
          <w:lang w:val="en-GB"/>
        </w:rPr>
        <w:t xml:space="preserve"> room</w:t>
      </w:r>
      <w:r w:rsidR="00845B6D" w:rsidRPr="00D9232D">
        <w:rPr>
          <w:sz w:val="24"/>
          <w:szCs w:val="24"/>
          <w:lang w:val="en-GB"/>
        </w:rPr>
        <w:t xml:space="preserve">, whether the </w:t>
      </w:r>
      <w:r w:rsidR="00C33D47" w:rsidRPr="00D9232D">
        <w:rPr>
          <w:sz w:val="24"/>
          <w:szCs w:val="24"/>
          <w:lang w:val="en-GB"/>
        </w:rPr>
        <w:t>home ha</w:t>
      </w:r>
      <w:r w:rsidR="00845B6D" w:rsidRPr="00D9232D">
        <w:rPr>
          <w:sz w:val="24"/>
          <w:szCs w:val="24"/>
          <w:lang w:val="en-GB"/>
        </w:rPr>
        <w:t>d a</w:t>
      </w:r>
      <w:r w:rsidR="00C33D47" w:rsidRPr="00D9232D">
        <w:rPr>
          <w:sz w:val="24"/>
          <w:szCs w:val="24"/>
          <w:lang w:val="en-GB"/>
        </w:rPr>
        <w:t xml:space="preserve"> </w:t>
      </w:r>
      <w:r w:rsidR="00845B6D" w:rsidRPr="00D9232D">
        <w:rPr>
          <w:sz w:val="24"/>
          <w:szCs w:val="24"/>
          <w:lang w:val="en-GB"/>
        </w:rPr>
        <w:t xml:space="preserve">link to the </w:t>
      </w:r>
      <w:r w:rsidR="00D9232D">
        <w:rPr>
          <w:sz w:val="24"/>
          <w:szCs w:val="24"/>
          <w:lang w:val="en-GB"/>
        </w:rPr>
        <w:t>Internet</w:t>
      </w:r>
      <w:r w:rsidR="00C33D47" w:rsidRPr="00D9232D">
        <w:rPr>
          <w:sz w:val="24"/>
          <w:szCs w:val="24"/>
          <w:lang w:val="en-GB"/>
        </w:rPr>
        <w:t>, the number of rooms in the home with a bath or shower, the number of televisions</w:t>
      </w:r>
      <w:r w:rsidR="00845B6D" w:rsidRPr="00D9232D">
        <w:rPr>
          <w:sz w:val="24"/>
          <w:szCs w:val="24"/>
          <w:lang w:val="en-GB"/>
        </w:rPr>
        <w:t xml:space="preserve">, </w:t>
      </w:r>
      <w:r w:rsidR="00C33D47" w:rsidRPr="00D9232D">
        <w:rPr>
          <w:sz w:val="24"/>
          <w:szCs w:val="24"/>
          <w:lang w:val="en-GB"/>
        </w:rPr>
        <w:t xml:space="preserve">computers, tablets, </w:t>
      </w:r>
      <w:r w:rsidR="00845B6D" w:rsidRPr="00D9232D">
        <w:rPr>
          <w:sz w:val="24"/>
          <w:szCs w:val="24"/>
          <w:lang w:val="en-GB"/>
        </w:rPr>
        <w:t xml:space="preserve">cell-phones, </w:t>
      </w:r>
      <w:r w:rsidR="00C33D47" w:rsidRPr="00D9232D">
        <w:rPr>
          <w:sz w:val="24"/>
          <w:szCs w:val="24"/>
          <w:lang w:val="en-GB"/>
        </w:rPr>
        <w:t xml:space="preserve">and e-book readers in the home, </w:t>
      </w:r>
      <w:r w:rsidR="00845B6D" w:rsidRPr="00D9232D">
        <w:rPr>
          <w:sz w:val="24"/>
          <w:szCs w:val="24"/>
          <w:lang w:val="en-GB"/>
        </w:rPr>
        <w:t xml:space="preserve">and </w:t>
      </w:r>
      <w:r w:rsidR="00C33D47" w:rsidRPr="00D9232D">
        <w:rPr>
          <w:sz w:val="24"/>
          <w:szCs w:val="24"/>
          <w:lang w:val="en-GB"/>
        </w:rPr>
        <w:t xml:space="preserve">the number of cars the family has. </w:t>
      </w:r>
      <w:r w:rsidR="00845B6D" w:rsidRPr="00D9232D">
        <w:rPr>
          <w:sz w:val="24"/>
          <w:szCs w:val="24"/>
          <w:lang w:val="en-GB"/>
        </w:rPr>
        <w:t>Q</w:t>
      </w:r>
      <w:r w:rsidR="00C33D47" w:rsidRPr="00D9232D">
        <w:rPr>
          <w:sz w:val="24"/>
          <w:szCs w:val="24"/>
          <w:lang w:val="en-GB"/>
        </w:rPr>
        <w:t xml:space="preserve">uintiles of this variable were calculated </w:t>
      </w:r>
      <w:r w:rsidR="006E2991">
        <w:rPr>
          <w:sz w:val="24"/>
          <w:szCs w:val="24"/>
          <w:lang w:val="en-GB"/>
        </w:rPr>
        <w:t>to use</w:t>
      </w:r>
      <w:r w:rsidR="00C33D47" w:rsidRPr="00D9232D">
        <w:rPr>
          <w:sz w:val="24"/>
          <w:szCs w:val="24"/>
          <w:lang w:val="en-GB"/>
        </w:rPr>
        <w:t xml:space="preserve"> in </w:t>
      </w:r>
      <w:r w:rsidR="00845B6D" w:rsidRPr="00D9232D">
        <w:rPr>
          <w:sz w:val="24"/>
          <w:szCs w:val="24"/>
          <w:lang w:val="en-GB"/>
        </w:rPr>
        <w:t>our</w:t>
      </w:r>
      <w:r w:rsidR="00C33D47" w:rsidRPr="00D9232D">
        <w:rPr>
          <w:sz w:val="24"/>
          <w:szCs w:val="24"/>
          <w:lang w:val="en-GB"/>
        </w:rPr>
        <w:t xml:space="preserve"> analyses.</w:t>
      </w:r>
    </w:p>
    <w:p w14:paraId="02DF9D98" w14:textId="6EDB8512" w:rsidR="00C878A3" w:rsidRPr="00D9232D" w:rsidRDefault="00C878A3" w:rsidP="001612B0">
      <w:pPr>
        <w:pStyle w:val="Heading2"/>
      </w:pPr>
      <w:r w:rsidRPr="00D9232D">
        <w:t>Statistics</w:t>
      </w:r>
    </w:p>
    <w:p w14:paraId="140D85A6" w14:textId="65E889FF" w:rsidR="00501F99" w:rsidRPr="00D9232D" w:rsidRDefault="005D624D" w:rsidP="004E289D">
      <w:pPr>
        <w:spacing w:line="480" w:lineRule="auto"/>
        <w:rPr>
          <w:sz w:val="24"/>
          <w:szCs w:val="24"/>
          <w:lang w:val="en-GB"/>
        </w:rPr>
      </w:pPr>
      <w:r w:rsidRPr="00D9232D">
        <w:rPr>
          <w:sz w:val="24"/>
          <w:szCs w:val="24"/>
          <w:lang w:val="en-GB"/>
        </w:rPr>
        <w:t xml:space="preserve">Statistical analyses were conducted with Stata 16.1 (Stata Corp LP, College station, Texas). Multivariable logistic regression analysis was performed to assess the association between age of </w:t>
      </w:r>
      <w:r w:rsidR="00442540">
        <w:rPr>
          <w:rFonts w:cstheme="minorHAnsi"/>
          <w:sz w:val="24"/>
          <w:szCs w:val="24"/>
          <w:lang w:val="en-GB"/>
        </w:rPr>
        <w:t>first exposure</w:t>
      </w:r>
      <w:r w:rsidRPr="0094703D">
        <w:rPr>
          <w:rFonts w:cstheme="minorHAnsi"/>
          <w:sz w:val="24"/>
          <w:szCs w:val="24"/>
          <w:lang w:val="en-GB"/>
        </w:rPr>
        <w:t xml:space="preserve"> </w:t>
      </w:r>
      <w:r w:rsidR="00442540">
        <w:rPr>
          <w:rFonts w:eastAsia="MS Gothic" w:cstheme="minorHAnsi"/>
          <w:sz w:val="24"/>
          <w:szCs w:val="24"/>
          <w:lang w:val="en-US" w:eastAsia="ja-JP"/>
        </w:rPr>
        <w:t>to</w:t>
      </w:r>
      <w:r w:rsidR="0094703D" w:rsidRPr="006944A4">
        <w:rPr>
          <w:rFonts w:eastAsia="MS Gothic" w:cstheme="minorHAnsi"/>
          <w:sz w:val="24"/>
          <w:szCs w:val="24"/>
          <w:lang w:val="en-US" w:eastAsia="ja-JP"/>
        </w:rPr>
        <w:t xml:space="preserve"> </w:t>
      </w:r>
      <w:proofErr w:type="gramStart"/>
      <w:r w:rsidR="00D9232D" w:rsidRPr="00186298">
        <w:rPr>
          <w:rFonts w:cstheme="minorHAnsi"/>
          <w:sz w:val="24"/>
          <w:szCs w:val="24"/>
          <w:lang w:val="en-GB"/>
        </w:rPr>
        <w:t>Internet</w:t>
      </w:r>
      <w:r w:rsidRPr="00D9232D">
        <w:rPr>
          <w:sz w:val="24"/>
          <w:szCs w:val="24"/>
          <w:lang w:val="en-GB"/>
        </w:rPr>
        <w:t xml:space="preserve"> </w:t>
      </w:r>
      <w:r w:rsidR="0094703D">
        <w:rPr>
          <w:sz w:val="24"/>
          <w:szCs w:val="24"/>
          <w:lang w:val="en-GB"/>
        </w:rPr>
        <w:t xml:space="preserve"> </w:t>
      </w:r>
      <w:r w:rsidRPr="00D9232D">
        <w:rPr>
          <w:sz w:val="24"/>
          <w:szCs w:val="24"/>
          <w:lang w:val="en-GB"/>
        </w:rPr>
        <w:t>(</w:t>
      </w:r>
      <w:proofErr w:type="gramEnd"/>
      <w:r w:rsidRPr="00D9232D">
        <w:rPr>
          <w:sz w:val="24"/>
          <w:szCs w:val="24"/>
          <w:lang w:val="en-GB"/>
        </w:rPr>
        <w:t xml:space="preserve">exposure variable) and heavy </w:t>
      </w:r>
      <w:r w:rsidR="00D9232D">
        <w:rPr>
          <w:sz w:val="24"/>
          <w:szCs w:val="24"/>
          <w:lang w:val="en-GB"/>
        </w:rPr>
        <w:t>Internet</w:t>
      </w:r>
      <w:r w:rsidRPr="00D9232D">
        <w:rPr>
          <w:sz w:val="24"/>
          <w:szCs w:val="24"/>
          <w:lang w:val="en-GB"/>
        </w:rPr>
        <w:t xml:space="preserve"> </w:t>
      </w:r>
      <w:r w:rsidR="0094703D">
        <w:rPr>
          <w:sz w:val="24"/>
          <w:szCs w:val="24"/>
          <w:lang w:val="en-GB"/>
        </w:rPr>
        <w:t xml:space="preserve">use </w:t>
      </w:r>
      <w:r w:rsidRPr="00D9232D">
        <w:rPr>
          <w:sz w:val="24"/>
          <w:szCs w:val="24"/>
          <w:lang w:val="en-GB"/>
        </w:rPr>
        <w:t>in three different domains (outcome variable</w:t>
      </w:r>
      <w:r w:rsidR="007C7E17" w:rsidRPr="00D9232D">
        <w:rPr>
          <w:sz w:val="24"/>
          <w:szCs w:val="24"/>
          <w:lang w:val="en-GB"/>
        </w:rPr>
        <w:t>s</w:t>
      </w:r>
      <w:r w:rsidRPr="00D9232D">
        <w:rPr>
          <w:sz w:val="24"/>
          <w:szCs w:val="24"/>
          <w:lang w:val="en-GB"/>
        </w:rPr>
        <w:t xml:space="preserve">). </w:t>
      </w:r>
      <w:r w:rsidR="008761B0" w:rsidRPr="00D9232D">
        <w:rPr>
          <w:sz w:val="24"/>
          <w:szCs w:val="24"/>
          <w:lang w:val="en-GB"/>
        </w:rPr>
        <w:t>Survey-adjusted a</w:t>
      </w:r>
      <w:r w:rsidRPr="00D9232D">
        <w:rPr>
          <w:sz w:val="24"/>
          <w:szCs w:val="24"/>
          <w:lang w:val="en-GB"/>
        </w:rPr>
        <w:t xml:space="preserve">nalyses </w:t>
      </w:r>
      <w:r w:rsidR="00FF7513" w:rsidRPr="00D9232D">
        <w:rPr>
          <w:sz w:val="24"/>
          <w:szCs w:val="24"/>
          <w:lang w:val="en-GB"/>
        </w:rPr>
        <w:t>using</w:t>
      </w:r>
      <w:r w:rsidR="008761B0" w:rsidRPr="00D9232D">
        <w:rPr>
          <w:sz w:val="24"/>
          <w:szCs w:val="24"/>
          <w:lang w:val="en-GB"/>
        </w:rPr>
        <w:t xml:space="preserve"> weighted sample </w:t>
      </w:r>
      <w:r w:rsidR="00FF7513" w:rsidRPr="00D9232D">
        <w:rPr>
          <w:sz w:val="24"/>
          <w:szCs w:val="24"/>
          <w:lang w:val="en-GB"/>
        </w:rPr>
        <w:t>(</w:t>
      </w:r>
      <w:proofErr w:type="spellStart"/>
      <w:r w:rsidR="00FF7513" w:rsidRPr="00D9232D">
        <w:rPr>
          <w:sz w:val="24"/>
          <w:szCs w:val="24"/>
          <w:lang w:val="en-GB"/>
        </w:rPr>
        <w:t>eTable</w:t>
      </w:r>
      <w:proofErr w:type="spellEnd"/>
      <w:r w:rsidR="00FF7513" w:rsidRPr="00D9232D">
        <w:rPr>
          <w:sz w:val="24"/>
          <w:szCs w:val="24"/>
          <w:lang w:val="en-GB"/>
        </w:rPr>
        <w:t xml:space="preserve"> 1 in the Supplement) </w:t>
      </w:r>
      <w:r w:rsidR="008761B0" w:rsidRPr="00D9232D">
        <w:rPr>
          <w:sz w:val="24"/>
          <w:szCs w:val="24"/>
          <w:lang w:val="en-GB"/>
        </w:rPr>
        <w:t>overall</w:t>
      </w:r>
      <w:r w:rsidR="00E0182A" w:rsidRPr="00D9232D">
        <w:rPr>
          <w:sz w:val="24"/>
          <w:szCs w:val="24"/>
          <w:lang w:val="en-GB"/>
        </w:rPr>
        <w:t>,</w:t>
      </w:r>
      <w:r w:rsidRPr="00D9232D">
        <w:rPr>
          <w:sz w:val="24"/>
          <w:szCs w:val="24"/>
          <w:lang w:val="en-GB"/>
        </w:rPr>
        <w:t xml:space="preserve"> </w:t>
      </w:r>
      <w:r w:rsidR="00E0182A" w:rsidRPr="00D9232D">
        <w:rPr>
          <w:sz w:val="24"/>
          <w:szCs w:val="24"/>
          <w:lang w:val="en-GB"/>
        </w:rPr>
        <w:t xml:space="preserve">as well as </w:t>
      </w:r>
      <w:r w:rsidRPr="00D9232D">
        <w:rPr>
          <w:sz w:val="24"/>
          <w:szCs w:val="24"/>
          <w:lang w:val="en-GB"/>
        </w:rPr>
        <w:t xml:space="preserve">stratified by </w:t>
      </w:r>
      <w:r w:rsidR="00E0182A" w:rsidRPr="00D9232D">
        <w:rPr>
          <w:sz w:val="24"/>
          <w:szCs w:val="24"/>
          <w:lang w:val="en-GB"/>
        </w:rPr>
        <w:t>geographical region</w:t>
      </w:r>
      <w:r w:rsidRPr="00D9232D">
        <w:rPr>
          <w:sz w:val="24"/>
          <w:szCs w:val="24"/>
          <w:lang w:val="en-GB"/>
        </w:rPr>
        <w:t xml:space="preserve"> were conducted</w:t>
      </w:r>
      <w:r w:rsidR="00ED749F" w:rsidRPr="00D9232D">
        <w:rPr>
          <w:sz w:val="24"/>
          <w:szCs w:val="24"/>
          <w:lang w:val="en-GB"/>
        </w:rPr>
        <w:t xml:space="preserve"> (</w:t>
      </w:r>
      <w:proofErr w:type="spellStart"/>
      <w:r w:rsidR="00ED749F" w:rsidRPr="00D9232D">
        <w:rPr>
          <w:sz w:val="24"/>
          <w:szCs w:val="24"/>
          <w:lang w:val="en-GB"/>
        </w:rPr>
        <w:t>eTable</w:t>
      </w:r>
      <w:proofErr w:type="spellEnd"/>
      <w:r w:rsidR="00ED749F" w:rsidRPr="00D9232D">
        <w:rPr>
          <w:sz w:val="24"/>
          <w:szCs w:val="24"/>
          <w:lang w:val="en-GB"/>
        </w:rPr>
        <w:t xml:space="preserve"> 2)</w:t>
      </w:r>
      <w:r w:rsidRPr="00D9232D">
        <w:rPr>
          <w:sz w:val="24"/>
          <w:szCs w:val="24"/>
          <w:lang w:val="en-GB"/>
        </w:rPr>
        <w:t xml:space="preserve">. These analyses </w:t>
      </w:r>
      <w:r w:rsidR="00B90874" w:rsidRPr="00D9232D">
        <w:rPr>
          <w:sz w:val="24"/>
          <w:szCs w:val="24"/>
          <w:lang w:val="en-GB"/>
        </w:rPr>
        <w:t xml:space="preserve">were </w:t>
      </w:r>
      <w:r w:rsidRPr="00D9232D">
        <w:rPr>
          <w:sz w:val="24"/>
          <w:szCs w:val="24"/>
          <w:lang w:val="en-GB"/>
        </w:rPr>
        <w:t xml:space="preserve">adjusted for sex, </w:t>
      </w:r>
      <w:r w:rsidR="002D54D1">
        <w:rPr>
          <w:sz w:val="24"/>
          <w:szCs w:val="24"/>
          <w:lang w:val="en-GB"/>
        </w:rPr>
        <w:t>SES</w:t>
      </w:r>
      <w:r w:rsidR="001D320B" w:rsidRPr="00D9232D">
        <w:rPr>
          <w:sz w:val="24"/>
          <w:szCs w:val="24"/>
          <w:lang w:val="en-GB"/>
        </w:rPr>
        <w:t xml:space="preserve">, and </w:t>
      </w:r>
      <w:r w:rsidRPr="00D9232D">
        <w:rPr>
          <w:sz w:val="24"/>
          <w:szCs w:val="24"/>
          <w:lang w:val="en-GB"/>
        </w:rPr>
        <w:t>country</w:t>
      </w:r>
      <w:r w:rsidR="001D320B" w:rsidRPr="00D9232D">
        <w:rPr>
          <w:sz w:val="24"/>
          <w:szCs w:val="24"/>
          <w:lang w:val="en-GB"/>
        </w:rPr>
        <w:t xml:space="preserve">. </w:t>
      </w:r>
      <w:r w:rsidR="006B69AA">
        <w:rPr>
          <w:sz w:val="24"/>
          <w:szCs w:val="24"/>
          <w:lang w:val="en-GB"/>
        </w:rPr>
        <w:t>T</w:t>
      </w:r>
      <w:r w:rsidRPr="00D9232D">
        <w:rPr>
          <w:sz w:val="24"/>
          <w:szCs w:val="24"/>
          <w:lang w:val="en-GB"/>
        </w:rPr>
        <w:t xml:space="preserve">o assess the generalizability of the findings based on the </w:t>
      </w:r>
      <w:r w:rsidR="007C7E17" w:rsidRPr="00D9232D">
        <w:rPr>
          <w:sz w:val="24"/>
          <w:szCs w:val="24"/>
          <w:lang w:val="en-GB"/>
        </w:rPr>
        <w:t xml:space="preserve">overall </w:t>
      </w:r>
      <w:r w:rsidRPr="00D9232D">
        <w:rPr>
          <w:sz w:val="24"/>
          <w:szCs w:val="24"/>
          <w:lang w:val="en-GB"/>
        </w:rPr>
        <w:t xml:space="preserve">sample </w:t>
      </w:r>
      <w:r w:rsidR="007C7E17" w:rsidRPr="00D9232D">
        <w:rPr>
          <w:sz w:val="24"/>
          <w:szCs w:val="24"/>
          <w:lang w:val="en-GB"/>
        </w:rPr>
        <w:t>and regional sub-samples</w:t>
      </w:r>
      <w:r w:rsidRPr="00D9232D">
        <w:rPr>
          <w:sz w:val="24"/>
          <w:szCs w:val="24"/>
          <w:lang w:val="en-GB"/>
        </w:rPr>
        <w:t>, we</w:t>
      </w:r>
      <w:r w:rsidR="007C7E17" w:rsidRPr="00D9232D">
        <w:rPr>
          <w:sz w:val="24"/>
          <w:szCs w:val="24"/>
          <w:lang w:val="en-GB"/>
        </w:rPr>
        <w:t xml:space="preserve"> also</w:t>
      </w:r>
      <w:r w:rsidRPr="00D9232D">
        <w:rPr>
          <w:sz w:val="24"/>
          <w:szCs w:val="24"/>
          <w:lang w:val="en-GB"/>
        </w:rPr>
        <w:t xml:space="preserve"> conducted country-wise regression analyses for the association between </w:t>
      </w:r>
      <w:r w:rsidR="007C7E17" w:rsidRPr="00D9232D">
        <w:rPr>
          <w:sz w:val="24"/>
          <w:szCs w:val="24"/>
          <w:lang w:val="en-GB"/>
        </w:rPr>
        <w:t xml:space="preserve">age of </w:t>
      </w:r>
      <w:r w:rsidR="00442540">
        <w:rPr>
          <w:sz w:val="24"/>
          <w:szCs w:val="24"/>
          <w:lang w:val="en-GB"/>
        </w:rPr>
        <w:t xml:space="preserve">first exposure to </w:t>
      </w:r>
      <w:proofErr w:type="gramStart"/>
      <w:r w:rsidR="00D9232D">
        <w:rPr>
          <w:sz w:val="24"/>
          <w:szCs w:val="24"/>
          <w:lang w:val="en-GB"/>
        </w:rPr>
        <w:t>Internet</w:t>
      </w:r>
      <w:r w:rsidR="007C7E17" w:rsidRPr="00D9232D">
        <w:rPr>
          <w:sz w:val="24"/>
          <w:szCs w:val="24"/>
          <w:lang w:val="en-GB"/>
        </w:rPr>
        <w:t xml:space="preserve"> </w:t>
      </w:r>
      <w:r w:rsidR="007B4808">
        <w:rPr>
          <w:sz w:val="24"/>
          <w:szCs w:val="24"/>
          <w:lang w:val="en-GB"/>
        </w:rPr>
        <w:t xml:space="preserve"> </w:t>
      </w:r>
      <w:r w:rsidR="007C7E17" w:rsidRPr="00D9232D">
        <w:rPr>
          <w:sz w:val="24"/>
          <w:szCs w:val="24"/>
          <w:lang w:val="en-GB"/>
        </w:rPr>
        <w:t>and</w:t>
      </w:r>
      <w:proofErr w:type="gramEnd"/>
      <w:r w:rsidR="007C7E17" w:rsidRPr="00D9232D">
        <w:rPr>
          <w:sz w:val="24"/>
          <w:szCs w:val="24"/>
          <w:lang w:val="en-GB"/>
        </w:rPr>
        <w:t xml:space="preserve"> heavy </w:t>
      </w:r>
      <w:r w:rsidR="00D9232D">
        <w:rPr>
          <w:sz w:val="24"/>
          <w:szCs w:val="24"/>
          <w:lang w:val="en-GB"/>
        </w:rPr>
        <w:t>Internet</w:t>
      </w:r>
      <w:r w:rsidR="007C7E17" w:rsidRPr="00D9232D">
        <w:rPr>
          <w:sz w:val="24"/>
          <w:szCs w:val="24"/>
          <w:lang w:val="en-GB"/>
        </w:rPr>
        <w:t xml:space="preserve"> </w:t>
      </w:r>
      <w:r w:rsidR="007B4808">
        <w:rPr>
          <w:sz w:val="24"/>
          <w:szCs w:val="24"/>
          <w:lang w:val="en-GB"/>
        </w:rPr>
        <w:t xml:space="preserve">use </w:t>
      </w:r>
      <w:r w:rsidRPr="00D9232D">
        <w:rPr>
          <w:sz w:val="24"/>
          <w:szCs w:val="24"/>
          <w:lang w:val="en-GB"/>
        </w:rPr>
        <w:t>adjust</w:t>
      </w:r>
      <w:r w:rsidR="007C7E17" w:rsidRPr="00D9232D">
        <w:rPr>
          <w:sz w:val="24"/>
          <w:szCs w:val="24"/>
          <w:lang w:val="en-GB"/>
        </w:rPr>
        <w:t xml:space="preserve">ed </w:t>
      </w:r>
      <w:r w:rsidRPr="00D9232D">
        <w:rPr>
          <w:sz w:val="24"/>
          <w:szCs w:val="24"/>
          <w:lang w:val="en-GB"/>
        </w:rPr>
        <w:t>for sex</w:t>
      </w:r>
      <w:r w:rsidR="007C7E17" w:rsidRPr="00D9232D">
        <w:rPr>
          <w:sz w:val="24"/>
          <w:szCs w:val="24"/>
          <w:lang w:val="en-GB"/>
        </w:rPr>
        <w:t xml:space="preserve"> and </w:t>
      </w:r>
      <w:r w:rsidR="00EB08EA">
        <w:rPr>
          <w:sz w:val="24"/>
          <w:szCs w:val="24"/>
          <w:lang w:val="en-GB"/>
        </w:rPr>
        <w:t>SES</w:t>
      </w:r>
      <w:r w:rsidRPr="00D9232D">
        <w:rPr>
          <w:sz w:val="24"/>
          <w:szCs w:val="24"/>
          <w:lang w:val="en-GB"/>
        </w:rPr>
        <w:t xml:space="preserve">. </w:t>
      </w:r>
      <w:r w:rsidR="00EC5189" w:rsidRPr="00D9232D">
        <w:rPr>
          <w:sz w:val="24"/>
          <w:szCs w:val="24"/>
          <w:lang w:val="en-GB"/>
        </w:rPr>
        <w:t xml:space="preserve">Pooled estimates for each age category were obtained by metanalyses with random effects based on region-wise estimates. </w:t>
      </w:r>
      <w:r w:rsidR="00E0182A" w:rsidRPr="00D9232D">
        <w:rPr>
          <w:sz w:val="24"/>
          <w:szCs w:val="24"/>
          <w:lang w:val="en-GB"/>
        </w:rPr>
        <w:t>To</w:t>
      </w:r>
      <w:r w:rsidR="00EC5189" w:rsidRPr="00D9232D">
        <w:rPr>
          <w:sz w:val="24"/>
          <w:szCs w:val="24"/>
          <w:lang w:val="en-GB"/>
        </w:rPr>
        <w:t xml:space="preserve"> assess the level of </w:t>
      </w:r>
      <w:r w:rsidR="00E0182A" w:rsidRPr="00D9232D">
        <w:rPr>
          <w:sz w:val="24"/>
          <w:szCs w:val="24"/>
          <w:lang w:val="en-GB"/>
        </w:rPr>
        <w:t xml:space="preserve">heterogeneity among </w:t>
      </w:r>
      <w:r w:rsidR="00EC5189" w:rsidRPr="00D9232D">
        <w:rPr>
          <w:sz w:val="24"/>
          <w:szCs w:val="24"/>
          <w:lang w:val="en-GB"/>
        </w:rPr>
        <w:t>region</w:t>
      </w:r>
      <w:r w:rsidR="008A5175">
        <w:rPr>
          <w:sz w:val="24"/>
          <w:szCs w:val="24"/>
          <w:lang w:val="en-GB"/>
        </w:rPr>
        <w:t>s</w:t>
      </w:r>
      <w:r w:rsidR="00EC5189" w:rsidRPr="00D9232D">
        <w:rPr>
          <w:sz w:val="24"/>
          <w:szCs w:val="24"/>
          <w:lang w:val="en-GB"/>
        </w:rPr>
        <w:t xml:space="preserve"> in the examined association we also calculated the Higgins’s I</w:t>
      </w:r>
      <w:r w:rsidR="00EC5189" w:rsidRPr="00EC1C4E">
        <w:rPr>
          <w:sz w:val="24"/>
          <w:szCs w:val="24"/>
          <w:vertAlign w:val="superscript"/>
          <w:lang w:val="en-GB"/>
        </w:rPr>
        <w:t>2</w:t>
      </w:r>
      <w:r w:rsidR="00EC5189" w:rsidRPr="00D9232D">
        <w:rPr>
          <w:sz w:val="24"/>
          <w:szCs w:val="24"/>
          <w:lang w:val="en-GB"/>
        </w:rPr>
        <w:t xml:space="preserve">. </w:t>
      </w:r>
      <w:bookmarkStart w:id="12" w:name="_Hlk76982006"/>
      <w:r w:rsidRPr="00D9232D">
        <w:rPr>
          <w:sz w:val="24"/>
          <w:szCs w:val="24"/>
          <w:lang w:val="en-GB"/>
        </w:rPr>
        <w:t xml:space="preserve">All variables were included in the models as </w:t>
      </w:r>
      <w:r w:rsidR="00B83400">
        <w:rPr>
          <w:sz w:val="24"/>
          <w:szCs w:val="24"/>
          <w:lang w:val="en-GB"/>
        </w:rPr>
        <w:t xml:space="preserve">either continuous (SES) or </w:t>
      </w:r>
      <w:r w:rsidRPr="00D9232D">
        <w:rPr>
          <w:sz w:val="24"/>
          <w:szCs w:val="24"/>
          <w:lang w:val="en-GB"/>
        </w:rPr>
        <w:t>categorical variables.</w:t>
      </w:r>
      <w:bookmarkEnd w:id="12"/>
      <w:r w:rsidRPr="00D9232D">
        <w:rPr>
          <w:sz w:val="24"/>
          <w:szCs w:val="24"/>
          <w:lang w:val="en-GB"/>
        </w:rPr>
        <w:t xml:space="preserve"> Results from the logistic regression analyses are presented as odds ratios (ORs) with 95% confidence intervals (CIs)</w:t>
      </w:r>
      <w:r w:rsidR="0003115E" w:rsidRPr="00D9232D">
        <w:rPr>
          <w:sz w:val="24"/>
          <w:szCs w:val="24"/>
          <w:lang w:val="en-GB"/>
        </w:rPr>
        <w:t xml:space="preserve">. </w:t>
      </w:r>
      <w:r w:rsidR="0096638B" w:rsidRPr="00D9232D">
        <w:rPr>
          <w:sz w:val="24"/>
          <w:szCs w:val="24"/>
          <w:lang w:val="en-GB"/>
        </w:rPr>
        <w:t>Sensitivity analyses</w:t>
      </w:r>
      <w:r w:rsidR="006944A4">
        <w:rPr>
          <w:sz w:val="24"/>
          <w:szCs w:val="24"/>
          <w:lang w:val="en-GB"/>
        </w:rPr>
        <w:t xml:space="preserve"> </w:t>
      </w:r>
      <w:r w:rsidR="008A5175">
        <w:rPr>
          <w:sz w:val="24"/>
          <w:szCs w:val="24"/>
          <w:lang w:val="en-GB"/>
        </w:rPr>
        <w:t>examining the association stratified for sex</w:t>
      </w:r>
      <w:r w:rsidR="0096638B" w:rsidRPr="00D9232D">
        <w:rPr>
          <w:sz w:val="24"/>
          <w:szCs w:val="24"/>
          <w:lang w:val="en-GB"/>
        </w:rPr>
        <w:t xml:space="preserve">, </w:t>
      </w:r>
      <w:r w:rsidR="00EB08EA">
        <w:rPr>
          <w:sz w:val="24"/>
          <w:szCs w:val="24"/>
          <w:lang w:val="en-GB"/>
        </w:rPr>
        <w:t>SES</w:t>
      </w:r>
      <w:r w:rsidR="0096638B" w:rsidRPr="00D9232D">
        <w:rPr>
          <w:sz w:val="24"/>
          <w:szCs w:val="24"/>
          <w:lang w:val="en-GB"/>
        </w:rPr>
        <w:t xml:space="preserve">, and country </w:t>
      </w:r>
      <w:r w:rsidR="0046296B">
        <w:rPr>
          <w:sz w:val="24"/>
          <w:szCs w:val="24"/>
          <w:lang w:val="en-GB"/>
        </w:rPr>
        <w:t xml:space="preserve">using the original categories for </w:t>
      </w:r>
      <w:r w:rsidR="00442540">
        <w:rPr>
          <w:sz w:val="24"/>
          <w:szCs w:val="24"/>
          <w:lang w:val="en-GB"/>
        </w:rPr>
        <w:t>age of first exposure</w:t>
      </w:r>
      <w:r w:rsidR="0046296B">
        <w:rPr>
          <w:sz w:val="24"/>
          <w:szCs w:val="24"/>
          <w:lang w:val="en-GB"/>
        </w:rPr>
        <w:t xml:space="preserve"> </w:t>
      </w:r>
      <w:r w:rsidR="00442540">
        <w:rPr>
          <w:sz w:val="24"/>
          <w:szCs w:val="24"/>
          <w:lang w:val="en-GB"/>
        </w:rPr>
        <w:t>to</w:t>
      </w:r>
      <w:r w:rsidR="0046296B">
        <w:rPr>
          <w:sz w:val="24"/>
          <w:szCs w:val="24"/>
          <w:lang w:val="en-GB"/>
        </w:rPr>
        <w:t xml:space="preserve"> Internet </w:t>
      </w:r>
      <w:r w:rsidR="008A5175">
        <w:rPr>
          <w:sz w:val="24"/>
          <w:szCs w:val="24"/>
          <w:lang w:val="en-GB"/>
        </w:rPr>
        <w:t xml:space="preserve">were performed to check the </w:t>
      </w:r>
      <w:r w:rsidR="006944A4">
        <w:rPr>
          <w:sz w:val="24"/>
          <w:szCs w:val="24"/>
          <w:lang w:val="en-GB"/>
        </w:rPr>
        <w:t>robustness</w:t>
      </w:r>
      <w:r w:rsidR="006944A4" w:rsidRPr="00D9232D">
        <w:rPr>
          <w:sz w:val="24"/>
          <w:szCs w:val="24"/>
          <w:lang w:val="en-GB"/>
        </w:rPr>
        <w:t xml:space="preserve"> </w:t>
      </w:r>
      <w:r w:rsidR="0096638B" w:rsidRPr="00D9232D">
        <w:rPr>
          <w:sz w:val="24"/>
          <w:szCs w:val="24"/>
          <w:lang w:val="en-GB"/>
        </w:rPr>
        <w:t xml:space="preserve">of the findings </w:t>
      </w:r>
      <w:r w:rsidR="0096638B" w:rsidRPr="00D9232D">
        <w:rPr>
          <w:sz w:val="24"/>
          <w:szCs w:val="24"/>
          <w:lang w:val="en-GB"/>
        </w:rPr>
        <w:lastRenderedPageBreak/>
        <w:t>(</w:t>
      </w:r>
      <w:proofErr w:type="spellStart"/>
      <w:r w:rsidR="0096638B" w:rsidRPr="00D9232D">
        <w:rPr>
          <w:sz w:val="24"/>
          <w:szCs w:val="24"/>
          <w:lang w:val="en-GB"/>
        </w:rPr>
        <w:t>eTable</w:t>
      </w:r>
      <w:proofErr w:type="spellEnd"/>
      <w:r w:rsidR="0096638B" w:rsidRPr="00D9232D">
        <w:rPr>
          <w:sz w:val="24"/>
          <w:szCs w:val="24"/>
          <w:lang w:val="en-GB"/>
        </w:rPr>
        <w:t xml:space="preserve"> </w:t>
      </w:r>
      <w:r w:rsidR="00ED749F" w:rsidRPr="00D9232D">
        <w:rPr>
          <w:sz w:val="24"/>
          <w:szCs w:val="24"/>
          <w:lang w:val="en-GB"/>
        </w:rPr>
        <w:t>3</w:t>
      </w:r>
      <w:r w:rsidR="0096638B" w:rsidRPr="00D9232D">
        <w:rPr>
          <w:sz w:val="24"/>
          <w:szCs w:val="24"/>
          <w:lang w:val="en-GB"/>
        </w:rPr>
        <w:t xml:space="preserve">, </w:t>
      </w:r>
      <w:proofErr w:type="spellStart"/>
      <w:r w:rsidR="0096638B" w:rsidRPr="00D9232D">
        <w:rPr>
          <w:sz w:val="24"/>
          <w:szCs w:val="24"/>
          <w:lang w:val="en-GB"/>
        </w:rPr>
        <w:t>eTable</w:t>
      </w:r>
      <w:proofErr w:type="spellEnd"/>
      <w:r w:rsidR="0096638B" w:rsidRPr="00D9232D">
        <w:rPr>
          <w:sz w:val="24"/>
          <w:szCs w:val="24"/>
          <w:lang w:val="en-GB"/>
        </w:rPr>
        <w:t xml:space="preserve"> </w:t>
      </w:r>
      <w:r w:rsidR="00ED749F" w:rsidRPr="00D9232D">
        <w:rPr>
          <w:sz w:val="24"/>
          <w:szCs w:val="24"/>
          <w:lang w:val="en-GB"/>
        </w:rPr>
        <w:t>4</w:t>
      </w:r>
      <w:r w:rsidR="0096638B" w:rsidRPr="00D9232D">
        <w:rPr>
          <w:sz w:val="24"/>
          <w:szCs w:val="24"/>
          <w:lang w:val="en-GB"/>
        </w:rPr>
        <w:t xml:space="preserve">, </w:t>
      </w:r>
      <w:proofErr w:type="spellStart"/>
      <w:r w:rsidR="0096638B" w:rsidRPr="00D9232D">
        <w:rPr>
          <w:sz w:val="24"/>
          <w:szCs w:val="24"/>
          <w:lang w:val="en-GB"/>
        </w:rPr>
        <w:t>eTable</w:t>
      </w:r>
      <w:proofErr w:type="spellEnd"/>
      <w:r w:rsidR="0096638B" w:rsidRPr="00D9232D">
        <w:rPr>
          <w:sz w:val="24"/>
          <w:szCs w:val="24"/>
          <w:lang w:val="en-GB"/>
        </w:rPr>
        <w:t xml:space="preserve"> </w:t>
      </w:r>
      <w:r w:rsidR="00ED749F" w:rsidRPr="00D9232D">
        <w:rPr>
          <w:sz w:val="24"/>
          <w:szCs w:val="24"/>
          <w:lang w:val="en-GB"/>
        </w:rPr>
        <w:t>5</w:t>
      </w:r>
      <w:r w:rsidR="0096638B" w:rsidRPr="00D9232D">
        <w:rPr>
          <w:sz w:val="24"/>
          <w:szCs w:val="24"/>
          <w:lang w:val="en-GB"/>
        </w:rPr>
        <w:t xml:space="preserve">). </w:t>
      </w:r>
      <w:bookmarkStart w:id="13" w:name="_Hlk76977313"/>
      <w:r w:rsidR="00A71BA8">
        <w:rPr>
          <w:sz w:val="24"/>
          <w:szCs w:val="24"/>
          <w:lang w:val="en-GB"/>
        </w:rPr>
        <w:t xml:space="preserve">Additionally, the </w:t>
      </w:r>
      <w:proofErr w:type="gramStart"/>
      <w:r w:rsidR="00A71BA8">
        <w:rPr>
          <w:sz w:val="24"/>
          <w:szCs w:val="24"/>
          <w:lang w:val="en-GB"/>
        </w:rPr>
        <w:t>aforementioned association</w:t>
      </w:r>
      <w:proofErr w:type="gramEnd"/>
      <w:r w:rsidR="00A71BA8">
        <w:rPr>
          <w:sz w:val="24"/>
          <w:szCs w:val="24"/>
          <w:lang w:val="en-GB"/>
        </w:rPr>
        <w:t xml:space="preserve"> was also examined using the f</w:t>
      </w:r>
      <w:r w:rsidR="006B2ADE">
        <w:rPr>
          <w:sz w:val="24"/>
          <w:szCs w:val="24"/>
          <w:lang w:val="en-GB"/>
        </w:rPr>
        <w:t>inal</w:t>
      </w:r>
      <w:r w:rsidR="00A71BA8">
        <w:rPr>
          <w:sz w:val="24"/>
          <w:szCs w:val="24"/>
          <w:lang w:val="en-GB"/>
        </w:rPr>
        <w:t xml:space="preserve"> adjusted model with the original categories of age of</w:t>
      </w:r>
      <w:r w:rsidR="00442540">
        <w:rPr>
          <w:sz w:val="24"/>
          <w:szCs w:val="24"/>
          <w:lang w:val="en-GB"/>
        </w:rPr>
        <w:t xml:space="preserve"> first exposure to</w:t>
      </w:r>
      <w:r w:rsidR="00A71BA8">
        <w:rPr>
          <w:sz w:val="24"/>
          <w:szCs w:val="24"/>
          <w:lang w:val="en-GB"/>
        </w:rPr>
        <w:t xml:space="preserve"> </w:t>
      </w:r>
      <w:r w:rsidR="00B83400">
        <w:rPr>
          <w:sz w:val="24"/>
          <w:szCs w:val="24"/>
          <w:lang w:val="en-GB"/>
        </w:rPr>
        <w:t>Internet and</w:t>
      </w:r>
      <w:r w:rsidR="00185E2E">
        <w:rPr>
          <w:sz w:val="24"/>
          <w:szCs w:val="24"/>
          <w:lang w:val="en-GB"/>
        </w:rPr>
        <w:t xml:space="preserve"> heavy use of the Internet variables</w:t>
      </w:r>
      <w:r w:rsidR="00820F60">
        <w:rPr>
          <w:sz w:val="24"/>
          <w:szCs w:val="24"/>
          <w:lang w:val="en-GB"/>
        </w:rPr>
        <w:t xml:space="preserve"> using linear regression for the last case. </w:t>
      </w:r>
    </w:p>
    <w:bookmarkEnd w:id="13"/>
    <w:p w14:paraId="07D1D307" w14:textId="77777777" w:rsidR="00597BE1" w:rsidRDefault="00597BE1" w:rsidP="004E289D">
      <w:pPr>
        <w:spacing w:line="480" w:lineRule="auto"/>
        <w:rPr>
          <w:b/>
          <w:bCs/>
          <w:sz w:val="28"/>
          <w:szCs w:val="28"/>
          <w:lang w:val="en-GB"/>
        </w:rPr>
      </w:pPr>
    </w:p>
    <w:p w14:paraId="6EE4908F" w14:textId="01F0A40A" w:rsidR="00A213BA" w:rsidRPr="00D9232D" w:rsidRDefault="00A213BA" w:rsidP="001612B0">
      <w:pPr>
        <w:pStyle w:val="Heading1"/>
      </w:pPr>
      <w:r w:rsidRPr="00D9232D">
        <w:t>Results</w:t>
      </w:r>
    </w:p>
    <w:p w14:paraId="7C5ED029" w14:textId="643FC871" w:rsidR="005127F3" w:rsidRPr="00D9232D" w:rsidRDefault="00A213BA" w:rsidP="004E289D">
      <w:pPr>
        <w:spacing w:line="480" w:lineRule="auto"/>
        <w:rPr>
          <w:sz w:val="24"/>
          <w:szCs w:val="24"/>
          <w:lang w:val="en-GB"/>
        </w:rPr>
      </w:pPr>
      <w:r w:rsidRPr="00D9232D">
        <w:rPr>
          <w:sz w:val="24"/>
          <w:szCs w:val="24"/>
          <w:lang w:val="en-GB"/>
        </w:rPr>
        <w:t xml:space="preserve">A total of </w:t>
      </w:r>
      <w:bookmarkStart w:id="14" w:name="_Hlk63442904"/>
      <w:r w:rsidRPr="00D9232D">
        <w:rPr>
          <w:sz w:val="24"/>
          <w:szCs w:val="24"/>
          <w:lang w:val="en-GB"/>
        </w:rPr>
        <w:t>317</w:t>
      </w:r>
      <w:r w:rsidR="00AB7A7B" w:rsidRPr="00D9232D">
        <w:rPr>
          <w:sz w:val="24"/>
          <w:szCs w:val="24"/>
          <w:lang w:val="en-GB"/>
        </w:rPr>
        <w:t xml:space="preserve"> </w:t>
      </w:r>
      <w:r w:rsidRPr="00D9232D">
        <w:rPr>
          <w:sz w:val="24"/>
          <w:szCs w:val="24"/>
          <w:lang w:val="en-GB"/>
        </w:rPr>
        <w:t>443</w:t>
      </w:r>
      <w:r w:rsidR="00B51BE7" w:rsidRPr="00D9232D">
        <w:rPr>
          <w:sz w:val="24"/>
          <w:szCs w:val="24"/>
          <w:lang w:val="en-GB"/>
        </w:rPr>
        <w:t xml:space="preserve"> </w:t>
      </w:r>
      <w:bookmarkEnd w:id="14"/>
      <w:r w:rsidR="00B51BE7" w:rsidRPr="00D9232D">
        <w:rPr>
          <w:sz w:val="24"/>
          <w:szCs w:val="24"/>
          <w:lang w:val="en-GB"/>
        </w:rPr>
        <w:t xml:space="preserve">adolescents aged 15 </w:t>
      </w:r>
      <w:r w:rsidR="002A4F52" w:rsidRPr="00D9232D">
        <w:rPr>
          <w:sz w:val="24"/>
          <w:szCs w:val="24"/>
          <w:lang w:val="en-GB"/>
        </w:rPr>
        <w:t xml:space="preserve">and 16 </w:t>
      </w:r>
      <w:r w:rsidR="00B51BE7" w:rsidRPr="00D9232D">
        <w:rPr>
          <w:sz w:val="24"/>
          <w:szCs w:val="24"/>
          <w:lang w:val="en-GB"/>
        </w:rPr>
        <w:t>years from 52 countries</w:t>
      </w:r>
      <w:r w:rsidR="009D1714">
        <w:rPr>
          <w:sz w:val="24"/>
          <w:szCs w:val="24"/>
          <w:lang w:val="en-GB"/>
        </w:rPr>
        <w:t xml:space="preserve"> constituted the final sample</w:t>
      </w:r>
      <w:r w:rsidR="003C5375" w:rsidRPr="00D9232D">
        <w:rPr>
          <w:sz w:val="24"/>
          <w:szCs w:val="24"/>
          <w:lang w:val="en-GB"/>
        </w:rPr>
        <w:t>, of whom 1</w:t>
      </w:r>
      <w:r w:rsidR="003F237A" w:rsidRPr="00D9232D">
        <w:rPr>
          <w:sz w:val="24"/>
          <w:szCs w:val="24"/>
          <w:lang w:val="en-GB"/>
        </w:rPr>
        <w:t>61</w:t>
      </w:r>
      <w:r w:rsidR="003C5375" w:rsidRPr="00D9232D">
        <w:rPr>
          <w:sz w:val="24"/>
          <w:szCs w:val="24"/>
          <w:lang w:val="en-GB"/>
        </w:rPr>
        <w:t xml:space="preserve"> </w:t>
      </w:r>
      <w:r w:rsidR="003F237A" w:rsidRPr="00D9232D">
        <w:rPr>
          <w:sz w:val="24"/>
          <w:szCs w:val="24"/>
          <w:lang w:val="en-GB"/>
        </w:rPr>
        <w:t>148</w:t>
      </w:r>
      <w:r w:rsidR="003C5375" w:rsidRPr="00D9232D">
        <w:rPr>
          <w:sz w:val="24"/>
          <w:szCs w:val="24"/>
          <w:lang w:val="en-GB"/>
        </w:rPr>
        <w:t xml:space="preserve"> were girls (</w:t>
      </w:r>
      <w:r w:rsidR="003F237A" w:rsidRPr="00D9232D">
        <w:rPr>
          <w:sz w:val="24"/>
          <w:szCs w:val="24"/>
          <w:lang w:val="en-GB"/>
        </w:rPr>
        <w:t>50</w:t>
      </w:r>
      <w:r w:rsidR="003C5375" w:rsidRPr="00D9232D">
        <w:rPr>
          <w:sz w:val="24"/>
          <w:szCs w:val="24"/>
          <w:lang w:val="en-GB"/>
        </w:rPr>
        <w:t>.</w:t>
      </w:r>
      <w:r w:rsidR="003F237A" w:rsidRPr="00D9232D">
        <w:rPr>
          <w:sz w:val="24"/>
          <w:szCs w:val="24"/>
          <w:lang w:val="en-GB"/>
        </w:rPr>
        <w:t>8</w:t>
      </w:r>
      <w:r w:rsidR="003C5375" w:rsidRPr="00D9232D">
        <w:rPr>
          <w:sz w:val="24"/>
          <w:szCs w:val="24"/>
          <w:lang w:val="en-GB"/>
        </w:rPr>
        <w:t>%)</w:t>
      </w:r>
      <w:r w:rsidR="00E82111">
        <w:rPr>
          <w:sz w:val="24"/>
          <w:szCs w:val="24"/>
          <w:lang w:val="en-GB"/>
        </w:rPr>
        <w:t>.</w:t>
      </w:r>
      <w:r w:rsidR="00EC1C4E">
        <w:rPr>
          <w:sz w:val="24"/>
          <w:szCs w:val="24"/>
          <w:lang w:val="en-GB"/>
        </w:rPr>
        <w:t xml:space="preserve"> </w:t>
      </w:r>
      <w:r w:rsidR="00E82111">
        <w:rPr>
          <w:sz w:val="24"/>
          <w:szCs w:val="24"/>
          <w:lang w:val="en-GB"/>
        </w:rPr>
        <w:t>D</w:t>
      </w:r>
      <w:r w:rsidR="009543EA" w:rsidRPr="00D9232D">
        <w:rPr>
          <w:sz w:val="24"/>
          <w:szCs w:val="24"/>
          <w:lang w:val="en-GB"/>
        </w:rPr>
        <w:t>ata on</w:t>
      </w:r>
      <w:r w:rsidR="00B51BE7" w:rsidRPr="00D9232D">
        <w:rPr>
          <w:sz w:val="24"/>
          <w:szCs w:val="24"/>
          <w:lang w:val="en-GB"/>
        </w:rPr>
        <w:t xml:space="preserve"> </w:t>
      </w:r>
      <w:r w:rsidR="009543EA" w:rsidRPr="00D9232D">
        <w:rPr>
          <w:sz w:val="24"/>
          <w:szCs w:val="24"/>
          <w:lang w:val="en-GB"/>
        </w:rPr>
        <w:t xml:space="preserve">heavy </w:t>
      </w:r>
      <w:r w:rsidR="00D9232D">
        <w:rPr>
          <w:sz w:val="24"/>
          <w:szCs w:val="24"/>
          <w:lang w:val="en-GB"/>
        </w:rPr>
        <w:t>Internet</w:t>
      </w:r>
      <w:r w:rsidR="009543EA" w:rsidRPr="00D9232D">
        <w:rPr>
          <w:sz w:val="24"/>
          <w:szCs w:val="24"/>
          <w:lang w:val="en-GB"/>
        </w:rPr>
        <w:t xml:space="preserve"> </w:t>
      </w:r>
      <w:r w:rsidR="009D1714">
        <w:rPr>
          <w:sz w:val="24"/>
          <w:szCs w:val="24"/>
          <w:lang w:val="en-GB"/>
        </w:rPr>
        <w:t xml:space="preserve">use </w:t>
      </w:r>
      <w:r w:rsidR="009543EA" w:rsidRPr="00D9232D">
        <w:rPr>
          <w:sz w:val="24"/>
          <w:szCs w:val="24"/>
          <w:lang w:val="en-GB"/>
        </w:rPr>
        <w:t>during weekdays, weekend</w:t>
      </w:r>
      <w:r w:rsidR="00F65A13" w:rsidRPr="00D9232D">
        <w:rPr>
          <w:sz w:val="24"/>
          <w:szCs w:val="24"/>
          <w:lang w:val="en-GB"/>
        </w:rPr>
        <w:t>s</w:t>
      </w:r>
      <w:r w:rsidR="009543EA" w:rsidRPr="00D9232D">
        <w:rPr>
          <w:sz w:val="24"/>
          <w:szCs w:val="24"/>
          <w:lang w:val="en-GB"/>
        </w:rPr>
        <w:t xml:space="preserve">, and school time, as well as </w:t>
      </w:r>
      <w:r w:rsidR="00E82111">
        <w:rPr>
          <w:sz w:val="24"/>
          <w:szCs w:val="24"/>
          <w:lang w:val="en-GB"/>
        </w:rPr>
        <w:t xml:space="preserve">SES </w:t>
      </w:r>
      <w:r w:rsidR="009543EA" w:rsidRPr="00D9232D">
        <w:rPr>
          <w:sz w:val="24"/>
          <w:szCs w:val="24"/>
          <w:lang w:val="en-GB"/>
        </w:rPr>
        <w:t xml:space="preserve">and </w:t>
      </w:r>
      <w:r w:rsidR="00442540">
        <w:rPr>
          <w:sz w:val="24"/>
          <w:szCs w:val="24"/>
          <w:lang w:val="en-GB"/>
        </w:rPr>
        <w:t xml:space="preserve">first exposure to </w:t>
      </w:r>
      <w:r w:rsidR="00EC1C4E">
        <w:rPr>
          <w:sz w:val="24"/>
          <w:szCs w:val="24"/>
          <w:lang w:val="en-GB"/>
        </w:rPr>
        <w:t xml:space="preserve">Internet </w:t>
      </w:r>
      <w:r w:rsidR="009D1714">
        <w:rPr>
          <w:sz w:val="24"/>
          <w:szCs w:val="24"/>
          <w:lang w:val="en-GB"/>
        </w:rPr>
        <w:t xml:space="preserve">use </w:t>
      </w:r>
      <w:r w:rsidR="00EC1C4E" w:rsidRPr="00D9232D">
        <w:rPr>
          <w:sz w:val="24"/>
          <w:szCs w:val="24"/>
          <w:lang w:val="en-GB"/>
        </w:rPr>
        <w:t>is</w:t>
      </w:r>
      <w:r w:rsidR="00E82111">
        <w:rPr>
          <w:sz w:val="24"/>
          <w:szCs w:val="24"/>
          <w:lang w:val="en-GB"/>
        </w:rPr>
        <w:t xml:space="preserve"> reported in </w:t>
      </w:r>
      <w:r w:rsidR="00CB2B11" w:rsidRPr="00D9232D">
        <w:rPr>
          <w:sz w:val="24"/>
          <w:szCs w:val="24"/>
          <w:lang w:val="en-GB"/>
        </w:rPr>
        <w:t xml:space="preserve">Table </w:t>
      </w:r>
      <w:r w:rsidR="00AB7A7B" w:rsidRPr="00D9232D">
        <w:rPr>
          <w:sz w:val="24"/>
          <w:szCs w:val="24"/>
          <w:lang w:val="en-GB"/>
        </w:rPr>
        <w:t>1</w:t>
      </w:r>
      <w:r w:rsidR="009543EA" w:rsidRPr="00D9232D">
        <w:rPr>
          <w:sz w:val="24"/>
          <w:szCs w:val="24"/>
          <w:lang w:val="en-GB"/>
        </w:rPr>
        <w:t xml:space="preserve">. </w:t>
      </w:r>
      <w:proofErr w:type="gramStart"/>
      <w:r w:rsidR="00E82111">
        <w:rPr>
          <w:sz w:val="24"/>
          <w:szCs w:val="24"/>
          <w:lang w:val="en-GB"/>
        </w:rPr>
        <w:t>The majority of</w:t>
      </w:r>
      <w:proofErr w:type="gramEnd"/>
      <w:r w:rsidR="00E82111">
        <w:rPr>
          <w:sz w:val="24"/>
          <w:szCs w:val="24"/>
          <w:lang w:val="en-GB"/>
        </w:rPr>
        <w:t xml:space="preserve"> </w:t>
      </w:r>
      <w:r w:rsidR="00215AB0" w:rsidRPr="00D9232D">
        <w:rPr>
          <w:sz w:val="24"/>
          <w:szCs w:val="24"/>
          <w:lang w:val="en-GB"/>
        </w:rPr>
        <w:t xml:space="preserve">students reported </w:t>
      </w:r>
      <w:r w:rsidR="00D9232D">
        <w:rPr>
          <w:sz w:val="24"/>
          <w:szCs w:val="24"/>
          <w:lang w:val="en-GB"/>
        </w:rPr>
        <w:t>Internet</w:t>
      </w:r>
      <w:r w:rsidR="00215AB0" w:rsidRPr="00D9232D">
        <w:rPr>
          <w:sz w:val="24"/>
          <w:szCs w:val="24"/>
          <w:lang w:val="en-GB"/>
        </w:rPr>
        <w:t xml:space="preserve"> </w:t>
      </w:r>
      <w:r w:rsidR="00EB699E">
        <w:rPr>
          <w:sz w:val="24"/>
          <w:szCs w:val="24"/>
          <w:lang w:val="en-GB"/>
        </w:rPr>
        <w:t>exposure</w:t>
      </w:r>
      <w:r w:rsidR="00E82111">
        <w:rPr>
          <w:sz w:val="24"/>
          <w:szCs w:val="24"/>
          <w:lang w:val="en-GB"/>
        </w:rPr>
        <w:t xml:space="preserve"> </w:t>
      </w:r>
      <w:r w:rsidR="00215AB0" w:rsidRPr="00D9232D">
        <w:rPr>
          <w:sz w:val="24"/>
          <w:szCs w:val="24"/>
          <w:lang w:val="en-GB"/>
        </w:rPr>
        <w:t xml:space="preserve">at </w:t>
      </w:r>
      <w:r w:rsidR="00E82111">
        <w:rPr>
          <w:rFonts w:cstheme="minorHAnsi"/>
          <w:sz w:val="24"/>
          <w:szCs w:val="24"/>
          <w:lang w:val="en-GB"/>
        </w:rPr>
        <w:t>≤</w:t>
      </w:r>
      <w:r w:rsidR="00EC1C4E">
        <w:rPr>
          <w:rFonts w:cstheme="minorHAnsi"/>
          <w:sz w:val="24"/>
          <w:szCs w:val="24"/>
          <w:lang w:val="en-GB"/>
        </w:rPr>
        <w:t xml:space="preserve"> </w:t>
      </w:r>
      <w:r w:rsidR="00215AB0" w:rsidRPr="00D9232D">
        <w:rPr>
          <w:sz w:val="24"/>
          <w:szCs w:val="24"/>
          <w:lang w:val="en-GB"/>
        </w:rPr>
        <w:t>9 years</w:t>
      </w:r>
      <w:r w:rsidR="00E82111">
        <w:rPr>
          <w:sz w:val="24"/>
          <w:szCs w:val="24"/>
          <w:lang w:val="en-GB"/>
        </w:rPr>
        <w:t xml:space="preserve"> old</w:t>
      </w:r>
      <w:r w:rsidR="00215AB0" w:rsidRPr="00D9232D">
        <w:rPr>
          <w:sz w:val="24"/>
          <w:szCs w:val="24"/>
          <w:lang w:val="en-GB"/>
        </w:rPr>
        <w:t xml:space="preserve"> (60.3%). </w:t>
      </w:r>
    </w:p>
    <w:p w14:paraId="65F717AA" w14:textId="7770EC0C" w:rsidR="005127F3" w:rsidRPr="00D9232D" w:rsidRDefault="007B0284" w:rsidP="004E289D">
      <w:pPr>
        <w:spacing w:line="480" w:lineRule="auto"/>
        <w:rPr>
          <w:sz w:val="24"/>
          <w:szCs w:val="24"/>
          <w:lang w:val="en-GB"/>
        </w:rPr>
      </w:pPr>
      <w:r w:rsidRPr="00D9232D">
        <w:rPr>
          <w:sz w:val="24"/>
          <w:szCs w:val="24"/>
          <w:lang w:val="en-GB"/>
        </w:rPr>
        <w:t xml:space="preserve">In total, </w:t>
      </w:r>
      <w:r w:rsidR="003F237A" w:rsidRPr="00D9232D">
        <w:rPr>
          <w:sz w:val="24"/>
          <w:szCs w:val="24"/>
          <w:lang w:val="en-GB"/>
        </w:rPr>
        <w:t>212 395 (</w:t>
      </w:r>
      <w:r w:rsidRPr="00D9232D">
        <w:rPr>
          <w:sz w:val="24"/>
          <w:szCs w:val="24"/>
          <w:lang w:val="en-GB"/>
        </w:rPr>
        <w:t>66.9%</w:t>
      </w:r>
      <w:r w:rsidR="003F237A" w:rsidRPr="00D9232D">
        <w:rPr>
          <w:sz w:val="24"/>
          <w:szCs w:val="24"/>
          <w:lang w:val="en-GB"/>
        </w:rPr>
        <w:t>)</w:t>
      </w:r>
      <w:r w:rsidRPr="00D9232D">
        <w:rPr>
          <w:sz w:val="24"/>
          <w:szCs w:val="24"/>
          <w:lang w:val="en-GB"/>
        </w:rPr>
        <w:t xml:space="preserve"> and </w:t>
      </w:r>
      <w:r w:rsidR="003F237A" w:rsidRPr="00D9232D">
        <w:rPr>
          <w:sz w:val="24"/>
          <w:szCs w:val="24"/>
          <w:lang w:val="en-GB"/>
        </w:rPr>
        <w:t>244 621 (</w:t>
      </w:r>
      <w:r w:rsidRPr="00D9232D">
        <w:rPr>
          <w:sz w:val="24"/>
          <w:szCs w:val="24"/>
          <w:lang w:val="en-GB"/>
        </w:rPr>
        <w:t>77.1%</w:t>
      </w:r>
      <w:r w:rsidR="003F237A" w:rsidRPr="00D9232D">
        <w:rPr>
          <w:sz w:val="24"/>
          <w:szCs w:val="24"/>
          <w:lang w:val="en-GB"/>
        </w:rPr>
        <w:t>)</w:t>
      </w:r>
      <w:r w:rsidRPr="00D9232D">
        <w:rPr>
          <w:sz w:val="24"/>
          <w:szCs w:val="24"/>
          <w:lang w:val="en-GB"/>
        </w:rPr>
        <w:t xml:space="preserve"> adolescents</w:t>
      </w:r>
      <w:r w:rsidR="009D1714">
        <w:rPr>
          <w:sz w:val="24"/>
          <w:szCs w:val="24"/>
          <w:lang w:val="en-GB"/>
        </w:rPr>
        <w:t>,</w:t>
      </w:r>
      <w:r w:rsidRPr="00D9232D">
        <w:rPr>
          <w:sz w:val="24"/>
          <w:szCs w:val="24"/>
          <w:lang w:val="en-GB"/>
        </w:rPr>
        <w:t xml:space="preserve"> respectively</w:t>
      </w:r>
      <w:r w:rsidR="009D1714">
        <w:rPr>
          <w:sz w:val="24"/>
          <w:szCs w:val="24"/>
          <w:lang w:val="en-GB"/>
        </w:rPr>
        <w:t>,</w:t>
      </w:r>
      <w:r w:rsidRPr="00D9232D">
        <w:rPr>
          <w:sz w:val="24"/>
          <w:szCs w:val="24"/>
          <w:lang w:val="en-GB"/>
        </w:rPr>
        <w:t xml:space="preserve"> reported heavy </w:t>
      </w:r>
      <w:r w:rsidR="00D9232D">
        <w:rPr>
          <w:sz w:val="24"/>
          <w:szCs w:val="24"/>
          <w:lang w:val="en-GB"/>
        </w:rPr>
        <w:t>Internet</w:t>
      </w:r>
      <w:r w:rsidRPr="00D9232D">
        <w:rPr>
          <w:sz w:val="24"/>
          <w:szCs w:val="24"/>
          <w:lang w:val="en-GB"/>
        </w:rPr>
        <w:t xml:space="preserve"> </w:t>
      </w:r>
      <w:r w:rsidR="009D1714">
        <w:rPr>
          <w:sz w:val="24"/>
          <w:szCs w:val="24"/>
          <w:lang w:val="en-GB"/>
        </w:rPr>
        <w:t xml:space="preserve">use </w:t>
      </w:r>
      <w:r w:rsidRPr="00D9232D">
        <w:rPr>
          <w:sz w:val="24"/>
          <w:szCs w:val="24"/>
          <w:lang w:val="en-GB"/>
        </w:rPr>
        <w:t>during weekdays</w:t>
      </w:r>
      <w:r w:rsidR="00F65A13" w:rsidRPr="00D9232D">
        <w:rPr>
          <w:sz w:val="24"/>
          <w:szCs w:val="24"/>
          <w:lang w:val="en-GB"/>
        </w:rPr>
        <w:t xml:space="preserve"> </w:t>
      </w:r>
      <w:r w:rsidRPr="00D9232D">
        <w:rPr>
          <w:sz w:val="24"/>
          <w:szCs w:val="24"/>
          <w:lang w:val="en-GB"/>
        </w:rPr>
        <w:t>and weekends</w:t>
      </w:r>
      <w:r w:rsidR="00F65A13" w:rsidRPr="00D9232D">
        <w:rPr>
          <w:sz w:val="24"/>
          <w:szCs w:val="24"/>
          <w:lang w:val="en-GB"/>
        </w:rPr>
        <w:t>, excluding school time</w:t>
      </w:r>
      <w:r w:rsidRPr="00D9232D">
        <w:rPr>
          <w:sz w:val="24"/>
          <w:szCs w:val="24"/>
          <w:lang w:val="en-GB"/>
        </w:rPr>
        <w:t xml:space="preserve">. In addition, </w:t>
      </w:r>
      <w:r w:rsidR="003F237A" w:rsidRPr="00D9232D">
        <w:rPr>
          <w:sz w:val="24"/>
          <w:szCs w:val="24"/>
          <w:lang w:val="en-GB"/>
        </w:rPr>
        <w:t>73 474 (23.2</w:t>
      </w:r>
      <w:r w:rsidRPr="00D9232D">
        <w:rPr>
          <w:sz w:val="24"/>
          <w:szCs w:val="24"/>
          <w:lang w:val="en-GB"/>
        </w:rPr>
        <w:t>%</w:t>
      </w:r>
      <w:r w:rsidR="003F237A" w:rsidRPr="00D9232D">
        <w:rPr>
          <w:sz w:val="24"/>
          <w:szCs w:val="24"/>
          <w:lang w:val="en-GB"/>
        </w:rPr>
        <w:t>)</w:t>
      </w:r>
      <w:r w:rsidRPr="00D9232D">
        <w:rPr>
          <w:sz w:val="24"/>
          <w:szCs w:val="24"/>
          <w:lang w:val="en-GB"/>
        </w:rPr>
        <w:t xml:space="preserve"> adolescents </w:t>
      </w:r>
      <w:r w:rsidR="009D1714">
        <w:rPr>
          <w:sz w:val="24"/>
          <w:szCs w:val="24"/>
          <w:lang w:val="en-GB"/>
        </w:rPr>
        <w:t xml:space="preserve">reported </w:t>
      </w:r>
      <w:r w:rsidRPr="00D9232D">
        <w:rPr>
          <w:sz w:val="24"/>
          <w:szCs w:val="24"/>
          <w:lang w:val="en-GB"/>
        </w:rPr>
        <w:t xml:space="preserve">heavy </w:t>
      </w:r>
      <w:r w:rsidR="00D9232D">
        <w:rPr>
          <w:sz w:val="24"/>
          <w:szCs w:val="24"/>
          <w:lang w:val="en-GB"/>
        </w:rPr>
        <w:t>Internet</w:t>
      </w:r>
      <w:r w:rsidRPr="00D9232D">
        <w:rPr>
          <w:sz w:val="24"/>
          <w:szCs w:val="24"/>
          <w:lang w:val="en-GB"/>
        </w:rPr>
        <w:t xml:space="preserve"> </w:t>
      </w:r>
      <w:r w:rsidR="009D1714">
        <w:rPr>
          <w:sz w:val="24"/>
          <w:szCs w:val="24"/>
          <w:lang w:val="en-GB"/>
        </w:rPr>
        <w:t xml:space="preserve">use </w:t>
      </w:r>
      <w:r w:rsidRPr="00D9232D">
        <w:rPr>
          <w:sz w:val="24"/>
          <w:szCs w:val="24"/>
          <w:lang w:val="en-GB"/>
        </w:rPr>
        <w:t xml:space="preserve">in school. Information </w:t>
      </w:r>
      <w:r w:rsidR="009D1714">
        <w:rPr>
          <w:sz w:val="24"/>
          <w:szCs w:val="24"/>
          <w:lang w:val="en-GB"/>
        </w:rPr>
        <w:t xml:space="preserve">on </w:t>
      </w:r>
      <w:r w:rsidRPr="00D9232D">
        <w:rPr>
          <w:sz w:val="24"/>
          <w:szCs w:val="24"/>
          <w:lang w:val="en-GB"/>
        </w:rPr>
        <w:t xml:space="preserve">prevalence of heavy </w:t>
      </w:r>
      <w:r w:rsidR="00D9232D">
        <w:rPr>
          <w:sz w:val="24"/>
          <w:szCs w:val="24"/>
          <w:lang w:val="en-GB"/>
        </w:rPr>
        <w:t>Internet</w:t>
      </w:r>
      <w:r w:rsidRPr="00D9232D">
        <w:rPr>
          <w:sz w:val="24"/>
          <w:szCs w:val="24"/>
          <w:lang w:val="en-GB"/>
        </w:rPr>
        <w:t xml:space="preserve"> </w:t>
      </w:r>
      <w:r w:rsidR="009D1714">
        <w:rPr>
          <w:sz w:val="24"/>
          <w:szCs w:val="24"/>
          <w:lang w:val="en-GB"/>
        </w:rPr>
        <w:t xml:space="preserve">use </w:t>
      </w:r>
      <w:r w:rsidRPr="00D9232D">
        <w:rPr>
          <w:sz w:val="24"/>
          <w:szCs w:val="24"/>
          <w:lang w:val="en-GB"/>
        </w:rPr>
        <w:t xml:space="preserve">for each country is </w:t>
      </w:r>
      <w:r w:rsidR="00AB6CCB" w:rsidRPr="00D9232D">
        <w:rPr>
          <w:sz w:val="24"/>
          <w:szCs w:val="24"/>
          <w:lang w:val="en-GB"/>
        </w:rPr>
        <w:t>shown</w:t>
      </w:r>
      <w:r w:rsidRPr="00D9232D">
        <w:rPr>
          <w:sz w:val="24"/>
          <w:szCs w:val="24"/>
          <w:lang w:val="en-GB"/>
        </w:rPr>
        <w:t xml:space="preserve"> in Table 2. </w:t>
      </w:r>
      <w:r w:rsidR="005474C9" w:rsidRPr="00D9232D">
        <w:rPr>
          <w:sz w:val="24"/>
          <w:szCs w:val="24"/>
          <w:lang w:val="en-GB"/>
        </w:rPr>
        <w:t xml:space="preserve">The highest prevalence of heavy </w:t>
      </w:r>
      <w:r w:rsidR="00D9232D">
        <w:rPr>
          <w:sz w:val="24"/>
          <w:szCs w:val="24"/>
          <w:lang w:val="en-GB"/>
        </w:rPr>
        <w:t>Internet</w:t>
      </w:r>
      <w:r w:rsidR="005474C9" w:rsidRPr="00D9232D">
        <w:rPr>
          <w:sz w:val="24"/>
          <w:szCs w:val="24"/>
          <w:lang w:val="en-GB"/>
        </w:rPr>
        <w:t xml:space="preserve"> </w:t>
      </w:r>
      <w:r w:rsidR="009D1714">
        <w:rPr>
          <w:sz w:val="24"/>
          <w:szCs w:val="24"/>
          <w:lang w:val="en-GB"/>
        </w:rPr>
        <w:t xml:space="preserve">use </w:t>
      </w:r>
      <w:r w:rsidR="005474C9" w:rsidRPr="00D9232D">
        <w:rPr>
          <w:sz w:val="24"/>
          <w:szCs w:val="24"/>
          <w:lang w:val="en-GB"/>
        </w:rPr>
        <w:t>during weekdays</w:t>
      </w:r>
      <w:r w:rsidR="00EB496D" w:rsidRPr="00D9232D">
        <w:rPr>
          <w:sz w:val="24"/>
          <w:szCs w:val="24"/>
          <w:lang w:val="en-GB"/>
        </w:rPr>
        <w:t xml:space="preserve"> (85.4%) </w:t>
      </w:r>
      <w:r w:rsidR="00F65A13" w:rsidRPr="00D9232D">
        <w:rPr>
          <w:sz w:val="24"/>
          <w:szCs w:val="24"/>
          <w:lang w:val="en-GB"/>
        </w:rPr>
        <w:t xml:space="preserve">and </w:t>
      </w:r>
      <w:r w:rsidR="0014235C" w:rsidRPr="00D9232D">
        <w:rPr>
          <w:sz w:val="24"/>
          <w:szCs w:val="24"/>
          <w:lang w:val="en-GB"/>
        </w:rPr>
        <w:t>weekends</w:t>
      </w:r>
      <w:r w:rsidR="00EB496D" w:rsidRPr="00D9232D">
        <w:rPr>
          <w:sz w:val="24"/>
          <w:szCs w:val="24"/>
          <w:lang w:val="en-GB"/>
        </w:rPr>
        <w:t xml:space="preserve"> (91.8%</w:t>
      </w:r>
      <w:r w:rsidR="00F65A13" w:rsidRPr="00D9232D">
        <w:rPr>
          <w:sz w:val="24"/>
          <w:szCs w:val="24"/>
          <w:lang w:val="en-GB"/>
        </w:rPr>
        <w:t>)</w:t>
      </w:r>
      <w:r w:rsidR="009D1714">
        <w:rPr>
          <w:sz w:val="24"/>
          <w:szCs w:val="24"/>
          <w:lang w:val="en-GB"/>
        </w:rPr>
        <w:t xml:space="preserve"> was observed in Sweden</w:t>
      </w:r>
      <w:r w:rsidR="009039D5" w:rsidRPr="00D9232D">
        <w:rPr>
          <w:sz w:val="24"/>
          <w:szCs w:val="24"/>
          <w:lang w:val="en-GB"/>
        </w:rPr>
        <w:t xml:space="preserve">, whereas the highest prevalence for heavy </w:t>
      </w:r>
      <w:r w:rsidR="00D9232D">
        <w:rPr>
          <w:sz w:val="24"/>
          <w:szCs w:val="24"/>
          <w:lang w:val="en-GB"/>
        </w:rPr>
        <w:t>Internet</w:t>
      </w:r>
      <w:r w:rsidR="009039D5" w:rsidRPr="00D9232D">
        <w:rPr>
          <w:sz w:val="24"/>
          <w:szCs w:val="24"/>
          <w:lang w:val="en-GB"/>
        </w:rPr>
        <w:t xml:space="preserve"> </w:t>
      </w:r>
      <w:r w:rsidR="009D1714">
        <w:rPr>
          <w:sz w:val="24"/>
          <w:szCs w:val="24"/>
          <w:lang w:val="en-GB"/>
        </w:rPr>
        <w:t xml:space="preserve">use </w:t>
      </w:r>
      <w:r w:rsidR="009039D5" w:rsidRPr="00D9232D">
        <w:rPr>
          <w:sz w:val="24"/>
          <w:szCs w:val="24"/>
          <w:lang w:val="en-GB"/>
        </w:rPr>
        <w:t xml:space="preserve">in school was observed </w:t>
      </w:r>
      <w:r w:rsidR="009D1714">
        <w:rPr>
          <w:sz w:val="24"/>
          <w:szCs w:val="24"/>
          <w:lang w:val="en-GB"/>
        </w:rPr>
        <w:t xml:space="preserve">in </w:t>
      </w:r>
      <w:r w:rsidR="009039D5" w:rsidRPr="00D9232D">
        <w:rPr>
          <w:sz w:val="24"/>
          <w:szCs w:val="24"/>
          <w:lang w:val="en-GB"/>
        </w:rPr>
        <w:t>Denmark (70.5%)</w:t>
      </w:r>
      <w:r w:rsidR="00F65A13" w:rsidRPr="00D9232D">
        <w:rPr>
          <w:sz w:val="24"/>
          <w:szCs w:val="24"/>
          <w:lang w:val="en-GB"/>
        </w:rPr>
        <w:t xml:space="preserve">. </w:t>
      </w:r>
    </w:p>
    <w:p w14:paraId="31A732E1" w14:textId="6674B7E5" w:rsidR="00F65A13" w:rsidRDefault="00AB6CCB" w:rsidP="004E289D">
      <w:pPr>
        <w:spacing w:line="480" w:lineRule="auto"/>
        <w:rPr>
          <w:sz w:val="24"/>
          <w:szCs w:val="24"/>
          <w:lang w:val="en-GB"/>
        </w:rPr>
      </w:pPr>
      <w:r w:rsidRPr="00D9232D">
        <w:rPr>
          <w:sz w:val="24"/>
          <w:szCs w:val="24"/>
          <w:lang w:val="en-GB"/>
        </w:rPr>
        <w:t>Figure 1 displays overall and region-wise estimat</w:t>
      </w:r>
      <w:r w:rsidR="00256270">
        <w:rPr>
          <w:sz w:val="24"/>
          <w:szCs w:val="24"/>
          <w:lang w:val="en-GB"/>
        </w:rPr>
        <w:t>es</w:t>
      </w:r>
      <w:r w:rsidRPr="00D9232D">
        <w:rPr>
          <w:sz w:val="24"/>
          <w:szCs w:val="24"/>
          <w:lang w:val="en-GB"/>
        </w:rPr>
        <w:t xml:space="preserve"> for heavy </w:t>
      </w:r>
      <w:r w:rsidR="00D9232D">
        <w:rPr>
          <w:sz w:val="24"/>
          <w:szCs w:val="24"/>
          <w:lang w:val="en-GB"/>
        </w:rPr>
        <w:t>Internet</w:t>
      </w:r>
      <w:r w:rsidRPr="00D9232D">
        <w:rPr>
          <w:sz w:val="24"/>
          <w:szCs w:val="24"/>
          <w:lang w:val="en-GB"/>
        </w:rPr>
        <w:t xml:space="preserve"> </w:t>
      </w:r>
      <w:r w:rsidR="00256270">
        <w:rPr>
          <w:sz w:val="24"/>
          <w:szCs w:val="24"/>
          <w:lang w:val="en-GB"/>
        </w:rPr>
        <w:t xml:space="preserve">use </w:t>
      </w:r>
      <w:r w:rsidRPr="00D9232D">
        <w:rPr>
          <w:sz w:val="24"/>
          <w:szCs w:val="24"/>
          <w:lang w:val="en-GB"/>
        </w:rPr>
        <w:t>during weekends. Overall</w:t>
      </w:r>
      <w:r w:rsidR="00D62500">
        <w:rPr>
          <w:sz w:val="24"/>
          <w:szCs w:val="24"/>
          <w:lang w:val="en-GB"/>
        </w:rPr>
        <w:t xml:space="preserve">, </w:t>
      </w:r>
      <w:r w:rsidR="00EB699E">
        <w:rPr>
          <w:sz w:val="24"/>
          <w:szCs w:val="24"/>
          <w:lang w:val="en-GB"/>
        </w:rPr>
        <w:t>exposure to Internet</w:t>
      </w:r>
      <w:r w:rsidR="00D62500">
        <w:rPr>
          <w:sz w:val="24"/>
          <w:szCs w:val="24"/>
          <w:lang w:val="en-GB"/>
        </w:rPr>
        <w:t xml:space="preserve"> </w:t>
      </w:r>
      <w:r w:rsidRPr="00D9232D">
        <w:rPr>
          <w:sz w:val="24"/>
          <w:szCs w:val="24"/>
          <w:lang w:val="en-GB"/>
        </w:rPr>
        <w:t xml:space="preserve">at 10 years old or over </w:t>
      </w:r>
      <w:r w:rsidR="00D62500">
        <w:rPr>
          <w:sz w:val="24"/>
          <w:szCs w:val="24"/>
          <w:lang w:val="en-GB"/>
        </w:rPr>
        <w:t xml:space="preserve">was associated with </w:t>
      </w:r>
      <w:r w:rsidR="00857733" w:rsidRPr="00D9232D">
        <w:rPr>
          <w:sz w:val="24"/>
          <w:szCs w:val="24"/>
          <w:lang w:val="en-GB"/>
        </w:rPr>
        <w:t>significant</w:t>
      </w:r>
      <w:r w:rsidR="00D62500">
        <w:rPr>
          <w:sz w:val="24"/>
          <w:szCs w:val="24"/>
          <w:lang w:val="en-GB"/>
        </w:rPr>
        <w:t>ly</w:t>
      </w:r>
      <w:r w:rsidR="00857733" w:rsidRPr="00D9232D">
        <w:rPr>
          <w:sz w:val="24"/>
          <w:szCs w:val="24"/>
          <w:lang w:val="en-GB"/>
        </w:rPr>
        <w:t xml:space="preserve"> lower odds for</w:t>
      </w:r>
      <w:r w:rsidRPr="00D9232D">
        <w:rPr>
          <w:sz w:val="24"/>
          <w:szCs w:val="24"/>
          <w:lang w:val="en-GB"/>
        </w:rPr>
        <w:t xml:space="preserve"> heavy </w:t>
      </w:r>
      <w:r w:rsidR="00D9232D">
        <w:rPr>
          <w:sz w:val="24"/>
          <w:szCs w:val="24"/>
          <w:lang w:val="en-GB"/>
        </w:rPr>
        <w:t>Internet</w:t>
      </w:r>
      <w:r w:rsidRPr="00D9232D">
        <w:rPr>
          <w:sz w:val="24"/>
          <w:szCs w:val="24"/>
          <w:lang w:val="en-GB"/>
        </w:rPr>
        <w:t xml:space="preserve"> </w:t>
      </w:r>
      <w:r w:rsidR="00D62500">
        <w:rPr>
          <w:sz w:val="24"/>
          <w:szCs w:val="24"/>
          <w:lang w:val="en-GB"/>
        </w:rPr>
        <w:t xml:space="preserve">use </w:t>
      </w:r>
      <w:r w:rsidR="00857733" w:rsidRPr="00D9232D">
        <w:rPr>
          <w:sz w:val="24"/>
          <w:szCs w:val="24"/>
          <w:lang w:val="en-GB"/>
        </w:rPr>
        <w:t xml:space="preserve">during weekends at 15 </w:t>
      </w:r>
      <w:r w:rsidR="00D5251D" w:rsidRPr="00D9232D">
        <w:rPr>
          <w:sz w:val="24"/>
          <w:szCs w:val="24"/>
          <w:lang w:val="en-GB"/>
        </w:rPr>
        <w:t xml:space="preserve">or 16 </w:t>
      </w:r>
      <w:r w:rsidR="00857733" w:rsidRPr="00D9232D">
        <w:rPr>
          <w:sz w:val="24"/>
          <w:szCs w:val="24"/>
          <w:lang w:val="en-GB"/>
        </w:rPr>
        <w:t xml:space="preserve">years old </w:t>
      </w:r>
      <w:bookmarkStart w:id="15" w:name="_Hlk62368627"/>
      <w:r w:rsidR="00857733" w:rsidRPr="00D9232D">
        <w:rPr>
          <w:sz w:val="24"/>
          <w:szCs w:val="24"/>
          <w:lang w:val="en-GB"/>
        </w:rPr>
        <w:t xml:space="preserve">(odds ratio, 0.53 [95% CI, </w:t>
      </w:r>
      <w:r w:rsidR="00C0226F" w:rsidRPr="00D9232D">
        <w:rPr>
          <w:sz w:val="24"/>
          <w:szCs w:val="24"/>
          <w:lang w:val="en-GB"/>
        </w:rPr>
        <w:t>0.45</w:t>
      </w:r>
      <w:r w:rsidR="00857733" w:rsidRPr="00D9232D">
        <w:rPr>
          <w:sz w:val="24"/>
          <w:szCs w:val="24"/>
          <w:lang w:val="en-GB"/>
        </w:rPr>
        <w:t>-</w:t>
      </w:r>
      <w:r w:rsidR="00C0226F" w:rsidRPr="00D9232D">
        <w:rPr>
          <w:sz w:val="24"/>
          <w:szCs w:val="24"/>
          <w:lang w:val="en-GB"/>
        </w:rPr>
        <w:t>0.62</w:t>
      </w:r>
      <w:r w:rsidR="00857733" w:rsidRPr="00D9232D">
        <w:rPr>
          <w:sz w:val="24"/>
          <w:szCs w:val="24"/>
          <w:lang w:val="en-GB"/>
        </w:rPr>
        <w:t>])</w:t>
      </w:r>
      <w:r w:rsidR="00C0226F" w:rsidRPr="00D9232D">
        <w:rPr>
          <w:sz w:val="24"/>
          <w:szCs w:val="24"/>
          <w:lang w:val="en-GB"/>
        </w:rPr>
        <w:t xml:space="preserve">. </w:t>
      </w:r>
      <w:bookmarkEnd w:id="15"/>
      <w:r w:rsidR="00C0226F" w:rsidRPr="00D9232D">
        <w:rPr>
          <w:sz w:val="24"/>
          <w:szCs w:val="24"/>
          <w:lang w:val="en-GB"/>
        </w:rPr>
        <w:t xml:space="preserve">Subgroup of adolescents reporting age of </w:t>
      </w:r>
      <w:r w:rsidR="00D9232D">
        <w:rPr>
          <w:sz w:val="24"/>
          <w:szCs w:val="24"/>
          <w:lang w:val="en-GB"/>
        </w:rPr>
        <w:lastRenderedPageBreak/>
        <w:t>Internet</w:t>
      </w:r>
      <w:r w:rsidR="00C0226F" w:rsidRPr="00D9232D">
        <w:rPr>
          <w:sz w:val="24"/>
          <w:szCs w:val="24"/>
          <w:lang w:val="en-GB"/>
        </w:rPr>
        <w:t xml:space="preserve"> </w:t>
      </w:r>
      <w:r w:rsidR="00E82111">
        <w:rPr>
          <w:sz w:val="24"/>
          <w:szCs w:val="24"/>
          <w:lang w:val="en-GB"/>
        </w:rPr>
        <w:t xml:space="preserve">initiation </w:t>
      </w:r>
      <w:r w:rsidR="00C0226F" w:rsidRPr="00D9232D">
        <w:rPr>
          <w:sz w:val="24"/>
          <w:szCs w:val="24"/>
          <w:lang w:val="en-GB"/>
        </w:rPr>
        <w:t xml:space="preserve">at </w:t>
      </w:r>
      <w:r w:rsidR="00E82111">
        <w:rPr>
          <w:rFonts w:cstheme="minorHAnsi"/>
          <w:sz w:val="24"/>
          <w:szCs w:val="24"/>
          <w:lang w:val="en-GB"/>
        </w:rPr>
        <w:t>≥</w:t>
      </w:r>
      <w:r w:rsidR="00EC1C4E">
        <w:rPr>
          <w:rFonts w:cstheme="minorHAnsi"/>
          <w:sz w:val="24"/>
          <w:szCs w:val="24"/>
          <w:lang w:val="en-GB"/>
        </w:rPr>
        <w:t xml:space="preserve"> </w:t>
      </w:r>
      <w:r w:rsidR="00C0226F" w:rsidRPr="00D9232D">
        <w:rPr>
          <w:sz w:val="24"/>
          <w:szCs w:val="24"/>
          <w:lang w:val="en-GB"/>
        </w:rPr>
        <w:t xml:space="preserve">13 </w:t>
      </w:r>
      <w:r w:rsidR="00E82111">
        <w:rPr>
          <w:sz w:val="24"/>
          <w:szCs w:val="24"/>
          <w:lang w:val="en-GB"/>
        </w:rPr>
        <w:t xml:space="preserve">years </w:t>
      </w:r>
      <w:r w:rsidR="00C0226F" w:rsidRPr="00D9232D">
        <w:rPr>
          <w:sz w:val="24"/>
          <w:szCs w:val="24"/>
          <w:lang w:val="en-GB"/>
        </w:rPr>
        <w:t xml:space="preserve">showed the highest inverse </w:t>
      </w:r>
      <w:bookmarkStart w:id="16" w:name="_Hlk63610172"/>
      <w:r w:rsidR="00C0226F" w:rsidRPr="00D9232D">
        <w:rPr>
          <w:sz w:val="24"/>
          <w:szCs w:val="24"/>
          <w:lang w:val="en-GB"/>
        </w:rPr>
        <w:t>association (odds ratio, 0.41 [95% CI, 0.35-0.</w:t>
      </w:r>
      <w:r w:rsidR="001B1BBA" w:rsidRPr="00D9232D">
        <w:rPr>
          <w:sz w:val="24"/>
          <w:szCs w:val="24"/>
          <w:lang w:val="en-GB"/>
        </w:rPr>
        <w:t>48</w:t>
      </w:r>
      <w:r w:rsidR="00C0226F" w:rsidRPr="00D9232D">
        <w:rPr>
          <w:sz w:val="24"/>
          <w:szCs w:val="24"/>
          <w:lang w:val="en-GB"/>
        </w:rPr>
        <w:t>])</w:t>
      </w:r>
      <w:bookmarkEnd w:id="16"/>
      <w:r w:rsidR="00887A4F" w:rsidRPr="00D9232D">
        <w:rPr>
          <w:sz w:val="24"/>
          <w:szCs w:val="24"/>
          <w:lang w:val="en-GB"/>
        </w:rPr>
        <w:t xml:space="preserve">, </w:t>
      </w:r>
      <w:r w:rsidR="004660EC" w:rsidRPr="00D9232D">
        <w:rPr>
          <w:sz w:val="24"/>
          <w:szCs w:val="24"/>
          <w:lang w:val="en-GB"/>
        </w:rPr>
        <w:t xml:space="preserve">which was more accentuated in </w:t>
      </w:r>
      <w:r w:rsidR="00887A4F" w:rsidRPr="00D9232D">
        <w:rPr>
          <w:sz w:val="24"/>
          <w:szCs w:val="24"/>
          <w:lang w:val="en-GB"/>
        </w:rPr>
        <w:t xml:space="preserve">countries from America B/C (odds ratio, 0.32 [95% CI, 0.29-0.36]), and Eastern Mediterranean </w:t>
      </w:r>
      <w:r w:rsidR="004660EC" w:rsidRPr="00D9232D">
        <w:rPr>
          <w:sz w:val="24"/>
          <w:szCs w:val="24"/>
          <w:lang w:val="en-GB"/>
        </w:rPr>
        <w:t xml:space="preserve">region </w:t>
      </w:r>
      <w:r w:rsidR="00887A4F" w:rsidRPr="00D9232D">
        <w:rPr>
          <w:sz w:val="24"/>
          <w:szCs w:val="24"/>
          <w:lang w:val="en-GB"/>
        </w:rPr>
        <w:t>(odds ratio, 0.32 [95% CI, 0.27-0.38])</w:t>
      </w:r>
      <w:r w:rsidR="004660EC" w:rsidRPr="00D9232D">
        <w:rPr>
          <w:sz w:val="24"/>
          <w:szCs w:val="24"/>
          <w:lang w:val="en-GB"/>
        </w:rPr>
        <w:t>.</w:t>
      </w:r>
    </w:p>
    <w:p w14:paraId="1C1A8C52" w14:textId="26BFC08F" w:rsidR="004660EC" w:rsidRDefault="000F7F05" w:rsidP="004E289D">
      <w:pPr>
        <w:spacing w:line="480" w:lineRule="auto"/>
        <w:rPr>
          <w:sz w:val="24"/>
          <w:szCs w:val="24"/>
          <w:lang w:val="en-GB"/>
        </w:rPr>
      </w:pPr>
      <w:r w:rsidRPr="00D9232D">
        <w:rPr>
          <w:sz w:val="24"/>
          <w:szCs w:val="24"/>
          <w:lang w:val="en-GB"/>
        </w:rPr>
        <w:t xml:space="preserve">Regarding heavy </w:t>
      </w:r>
      <w:r w:rsidR="00D9232D">
        <w:rPr>
          <w:sz w:val="24"/>
          <w:szCs w:val="24"/>
          <w:lang w:val="en-GB"/>
        </w:rPr>
        <w:t>Internet</w:t>
      </w:r>
      <w:r w:rsidRPr="00D9232D">
        <w:rPr>
          <w:sz w:val="24"/>
          <w:szCs w:val="24"/>
          <w:lang w:val="en-GB"/>
        </w:rPr>
        <w:t xml:space="preserve"> </w:t>
      </w:r>
      <w:r w:rsidR="00225FA0">
        <w:rPr>
          <w:sz w:val="24"/>
          <w:szCs w:val="24"/>
          <w:lang w:val="en-GB"/>
        </w:rPr>
        <w:t xml:space="preserve">use </w:t>
      </w:r>
      <w:r w:rsidRPr="00D9232D">
        <w:rPr>
          <w:sz w:val="24"/>
          <w:szCs w:val="24"/>
          <w:lang w:val="en-GB"/>
        </w:rPr>
        <w:t>during weekdays</w:t>
      </w:r>
      <w:r w:rsidR="004F668F" w:rsidRPr="00D9232D">
        <w:rPr>
          <w:sz w:val="24"/>
          <w:szCs w:val="24"/>
          <w:lang w:val="en-GB"/>
        </w:rPr>
        <w:t xml:space="preserve"> (Figure 2)</w:t>
      </w:r>
      <w:r w:rsidRPr="00D9232D">
        <w:rPr>
          <w:sz w:val="24"/>
          <w:szCs w:val="24"/>
          <w:lang w:val="en-GB"/>
        </w:rPr>
        <w:t>, overall values for the subgroup of adolescents whose</w:t>
      </w:r>
      <w:r w:rsidR="00EB699E">
        <w:rPr>
          <w:sz w:val="24"/>
          <w:szCs w:val="24"/>
          <w:lang w:val="en-GB"/>
        </w:rPr>
        <w:t xml:space="preserve"> first</w:t>
      </w:r>
      <w:r w:rsidRPr="00D9232D">
        <w:rPr>
          <w:sz w:val="24"/>
          <w:szCs w:val="24"/>
          <w:lang w:val="en-GB"/>
        </w:rPr>
        <w:t xml:space="preserve"> </w:t>
      </w:r>
      <w:r w:rsidR="00D9232D">
        <w:rPr>
          <w:sz w:val="24"/>
          <w:szCs w:val="24"/>
          <w:lang w:val="en-GB"/>
        </w:rPr>
        <w:t>Internet</w:t>
      </w:r>
      <w:r w:rsidR="00E82111">
        <w:rPr>
          <w:sz w:val="24"/>
          <w:szCs w:val="24"/>
          <w:lang w:val="en-GB"/>
        </w:rPr>
        <w:t xml:space="preserve"> </w:t>
      </w:r>
      <w:r w:rsidR="00EB699E">
        <w:rPr>
          <w:sz w:val="24"/>
          <w:szCs w:val="24"/>
          <w:lang w:val="en-GB"/>
        </w:rPr>
        <w:t>exposure</w:t>
      </w:r>
      <w:r w:rsidR="00E82111">
        <w:rPr>
          <w:sz w:val="24"/>
          <w:szCs w:val="24"/>
          <w:lang w:val="en-GB"/>
        </w:rPr>
        <w:t xml:space="preserve"> age</w:t>
      </w:r>
      <w:r w:rsidRPr="00D9232D">
        <w:rPr>
          <w:sz w:val="24"/>
          <w:szCs w:val="24"/>
          <w:lang w:val="en-GB"/>
        </w:rPr>
        <w:t xml:space="preserve"> was </w:t>
      </w:r>
      <w:r w:rsidR="00E82111">
        <w:rPr>
          <w:rFonts w:cstheme="minorHAnsi"/>
          <w:sz w:val="24"/>
          <w:szCs w:val="24"/>
          <w:lang w:val="en-GB"/>
        </w:rPr>
        <w:t>≥</w:t>
      </w:r>
      <w:r w:rsidR="00EC1C4E">
        <w:rPr>
          <w:rFonts w:cstheme="minorHAnsi"/>
          <w:sz w:val="24"/>
          <w:szCs w:val="24"/>
          <w:lang w:val="en-GB"/>
        </w:rPr>
        <w:t xml:space="preserve"> </w:t>
      </w:r>
      <w:r w:rsidRPr="00D9232D">
        <w:rPr>
          <w:sz w:val="24"/>
          <w:szCs w:val="24"/>
          <w:lang w:val="en-GB"/>
        </w:rPr>
        <w:t xml:space="preserve">10 </w:t>
      </w:r>
      <w:r w:rsidR="00655443" w:rsidRPr="00D9232D">
        <w:rPr>
          <w:sz w:val="24"/>
          <w:szCs w:val="24"/>
          <w:lang w:val="en-GB"/>
        </w:rPr>
        <w:t>years,</w:t>
      </w:r>
      <w:r w:rsidRPr="00D9232D">
        <w:rPr>
          <w:sz w:val="24"/>
          <w:szCs w:val="24"/>
          <w:lang w:val="en-GB"/>
        </w:rPr>
        <w:t xml:space="preserve"> showed a significant lower odds ratio (0.57 [95% CI, 0.50-0.66]). The subgroup of adolescents aged 13 years </w:t>
      </w:r>
      <w:r w:rsidR="00201DD4" w:rsidRPr="00D9232D">
        <w:rPr>
          <w:sz w:val="24"/>
          <w:szCs w:val="24"/>
          <w:lang w:val="en-GB"/>
        </w:rPr>
        <w:t>and above</w:t>
      </w:r>
      <w:r w:rsidRPr="00D9232D">
        <w:rPr>
          <w:sz w:val="24"/>
          <w:szCs w:val="24"/>
          <w:lang w:val="en-GB"/>
        </w:rPr>
        <w:t xml:space="preserve"> </w:t>
      </w:r>
      <w:r w:rsidR="004F668F" w:rsidRPr="00D9232D">
        <w:rPr>
          <w:sz w:val="24"/>
          <w:szCs w:val="24"/>
          <w:lang w:val="en-GB"/>
        </w:rPr>
        <w:t xml:space="preserve">showed </w:t>
      </w:r>
      <w:r w:rsidR="00D15E0A" w:rsidRPr="00D9232D">
        <w:rPr>
          <w:sz w:val="24"/>
          <w:szCs w:val="24"/>
          <w:lang w:val="en-GB"/>
        </w:rPr>
        <w:t>lower</w:t>
      </w:r>
      <w:r w:rsidR="004F668F" w:rsidRPr="00D9232D">
        <w:rPr>
          <w:sz w:val="24"/>
          <w:szCs w:val="24"/>
          <w:lang w:val="en-GB"/>
        </w:rPr>
        <w:t xml:space="preserve"> odds ratio </w:t>
      </w:r>
      <w:bookmarkStart w:id="17" w:name="_Hlk63610467"/>
      <w:r w:rsidR="004F668F" w:rsidRPr="00D9232D">
        <w:rPr>
          <w:sz w:val="24"/>
          <w:szCs w:val="24"/>
          <w:lang w:val="en-GB"/>
        </w:rPr>
        <w:t>(0.45 [95% CI, 0.37-0.56])</w:t>
      </w:r>
      <w:bookmarkEnd w:id="17"/>
      <w:r w:rsidR="004F668F" w:rsidRPr="00D9232D">
        <w:rPr>
          <w:sz w:val="24"/>
          <w:szCs w:val="24"/>
          <w:lang w:val="en-GB"/>
        </w:rPr>
        <w:t xml:space="preserve">, </w:t>
      </w:r>
      <w:r w:rsidR="00705035" w:rsidRPr="00D9232D">
        <w:rPr>
          <w:sz w:val="24"/>
          <w:szCs w:val="24"/>
          <w:lang w:val="en-GB"/>
        </w:rPr>
        <w:t>with</w:t>
      </w:r>
      <w:r w:rsidR="004F668F" w:rsidRPr="00D9232D">
        <w:rPr>
          <w:sz w:val="24"/>
          <w:szCs w:val="24"/>
          <w:lang w:val="en-GB"/>
        </w:rPr>
        <w:t xml:space="preserve"> countries from the America B/C region display</w:t>
      </w:r>
      <w:r w:rsidR="00705035" w:rsidRPr="00D9232D">
        <w:rPr>
          <w:sz w:val="24"/>
          <w:szCs w:val="24"/>
          <w:lang w:val="en-GB"/>
        </w:rPr>
        <w:t>ing</w:t>
      </w:r>
      <w:r w:rsidR="004F668F" w:rsidRPr="00D9232D">
        <w:rPr>
          <w:sz w:val="24"/>
          <w:szCs w:val="24"/>
          <w:lang w:val="en-GB"/>
        </w:rPr>
        <w:t xml:space="preserve"> the lowe</w:t>
      </w:r>
      <w:r w:rsidR="00D15E0A" w:rsidRPr="00D9232D">
        <w:rPr>
          <w:sz w:val="24"/>
          <w:szCs w:val="24"/>
          <w:lang w:val="en-GB"/>
        </w:rPr>
        <w:t>st</w:t>
      </w:r>
      <w:r w:rsidR="004F668F" w:rsidRPr="00D9232D">
        <w:rPr>
          <w:sz w:val="24"/>
          <w:szCs w:val="24"/>
          <w:lang w:val="en-GB"/>
        </w:rPr>
        <w:t xml:space="preserve"> values (odds ratio, 0.31 [95% CI, 0.28-0.35]).</w:t>
      </w:r>
    </w:p>
    <w:p w14:paraId="72B5C7EC" w14:textId="0E01E3DB" w:rsidR="007B0284" w:rsidRDefault="00D15E0A" w:rsidP="004E289D">
      <w:pPr>
        <w:spacing w:line="480" w:lineRule="auto"/>
        <w:rPr>
          <w:sz w:val="24"/>
          <w:szCs w:val="24"/>
          <w:lang w:val="en-GB"/>
        </w:rPr>
      </w:pPr>
      <w:r w:rsidRPr="00D9232D">
        <w:rPr>
          <w:sz w:val="24"/>
          <w:szCs w:val="24"/>
          <w:lang w:val="en-GB"/>
        </w:rPr>
        <w:t xml:space="preserve">Figure 3 presents estimates concerning heavy </w:t>
      </w:r>
      <w:r w:rsidR="00D9232D">
        <w:rPr>
          <w:sz w:val="24"/>
          <w:szCs w:val="24"/>
          <w:lang w:val="en-GB"/>
        </w:rPr>
        <w:t>Internet</w:t>
      </w:r>
      <w:r w:rsidRPr="00D9232D">
        <w:rPr>
          <w:sz w:val="24"/>
          <w:szCs w:val="24"/>
          <w:lang w:val="en-GB"/>
        </w:rPr>
        <w:t xml:space="preserve"> </w:t>
      </w:r>
      <w:r w:rsidR="00225FA0">
        <w:rPr>
          <w:sz w:val="24"/>
          <w:szCs w:val="24"/>
          <w:lang w:val="en-GB"/>
        </w:rPr>
        <w:t xml:space="preserve">use </w:t>
      </w:r>
      <w:r w:rsidR="00B052F7" w:rsidRPr="00D9232D">
        <w:rPr>
          <w:sz w:val="24"/>
          <w:szCs w:val="24"/>
          <w:lang w:val="en-GB"/>
        </w:rPr>
        <w:t>in school</w:t>
      </w:r>
      <w:r w:rsidRPr="00D9232D">
        <w:rPr>
          <w:sz w:val="24"/>
          <w:szCs w:val="24"/>
          <w:lang w:val="en-GB"/>
        </w:rPr>
        <w:t>. Overall values showed lower significant odds (odds ratio, 0.86 [95% CI, 0.82-0.91])</w:t>
      </w:r>
      <w:r w:rsidR="00B052F7" w:rsidRPr="00D9232D">
        <w:rPr>
          <w:sz w:val="24"/>
          <w:szCs w:val="24"/>
          <w:lang w:val="en-GB"/>
        </w:rPr>
        <w:t xml:space="preserve">, with similar values for the 10 to 12 years old (odds ratio, 0.86 [95% CI, 0.82-0.89]), and the 13 years and </w:t>
      </w:r>
      <w:r w:rsidR="00201DD4" w:rsidRPr="00D9232D">
        <w:rPr>
          <w:sz w:val="24"/>
          <w:szCs w:val="24"/>
          <w:lang w:val="en-GB"/>
        </w:rPr>
        <w:t>above</w:t>
      </w:r>
      <w:r w:rsidR="00B052F7" w:rsidRPr="00D9232D">
        <w:rPr>
          <w:sz w:val="24"/>
          <w:szCs w:val="24"/>
          <w:lang w:val="en-GB"/>
        </w:rPr>
        <w:t xml:space="preserve"> subgroup </w:t>
      </w:r>
      <w:bookmarkStart w:id="18" w:name="_Hlk63610573"/>
      <w:r w:rsidR="00B052F7" w:rsidRPr="00D9232D">
        <w:rPr>
          <w:sz w:val="24"/>
          <w:szCs w:val="24"/>
          <w:lang w:val="en-GB"/>
        </w:rPr>
        <w:t>(odds ratio, 0.86 [95% CI, 0.77-0.96])</w:t>
      </w:r>
      <w:bookmarkEnd w:id="18"/>
      <w:r w:rsidR="00B052F7" w:rsidRPr="00D9232D">
        <w:rPr>
          <w:sz w:val="24"/>
          <w:szCs w:val="24"/>
          <w:lang w:val="en-GB"/>
        </w:rPr>
        <w:t xml:space="preserve">. African adolescents </w:t>
      </w:r>
      <w:r w:rsidR="00201DD4" w:rsidRPr="00D9232D">
        <w:rPr>
          <w:sz w:val="24"/>
          <w:szCs w:val="24"/>
          <w:lang w:val="en-GB"/>
        </w:rPr>
        <w:t xml:space="preserve">whose </w:t>
      </w:r>
      <w:r w:rsidR="00442540">
        <w:rPr>
          <w:sz w:val="24"/>
          <w:szCs w:val="24"/>
          <w:lang w:val="en-GB"/>
        </w:rPr>
        <w:t xml:space="preserve">age of first exposure </w:t>
      </w:r>
      <w:proofErr w:type="gramStart"/>
      <w:r w:rsidR="00442540">
        <w:rPr>
          <w:sz w:val="24"/>
          <w:szCs w:val="24"/>
          <w:lang w:val="en-GB"/>
        </w:rPr>
        <w:t>to</w:t>
      </w:r>
      <w:r w:rsidR="00201DD4" w:rsidRPr="00D9232D">
        <w:rPr>
          <w:sz w:val="24"/>
          <w:szCs w:val="24"/>
          <w:lang w:val="en-GB"/>
        </w:rPr>
        <w:t xml:space="preserve"> </w:t>
      </w:r>
      <w:r w:rsidR="00225FA0">
        <w:rPr>
          <w:sz w:val="24"/>
          <w:szCs w:val="24"/>
          <w:lang w:val="en-GB"/>
        </w:rPr>
        <w:t xml:space="preserve"> </w:t>
      </w:r>
      <w:r w:rsidR="00D9232D">
        <w:rPr>
          <w:sz w:val="24"/>
          <w:szCs w:val="24"/>
          <w:lang w:val="en-GB"/>
        </w:rPr>
        <w:t>Internet</w:t>
      </w:r>
      <w:proofErr w:type="gramEnd"/>
      <w:r w:rsidR="00201DD4" w:rsidRPr="00D9232D">
        <w:rPr>
          <w:sz w:val="24"/>
          <w:szCs w:val="24"/>
          <w:lang w:val="en-GB"/>
        </w:rPr>
        <w:t xml:space="preserve"> </w:t>
      </w:r>
      <w:r w:rsidR="00225FA0">
        <w:rPr>
          <w:sz w:val="24"/>
          <w:szCs w:val="24"/>
          <w:lang w:val="en-GB"/>
        </w:rPr>
        <w:t xml:space="preserve">use </w:t>
      </w:r>
      <w:r w:rsidR="00201DD4" w:rsidRPr="00D9232D">
        <w:rPr>
          <w:sz w:val="24"/>
          <w:szCs w:val="24"/>
          <w:lang w:val="en-GB"/>
        </w:rPr>
        <w:t xml:space="preserve">was 13 years or above showed the </w:t>
      </w:r>
      <w:r w:rsidR="00B052F7" w:rsidRPr="00D9232D">
        <w:rPr>
          <w:sz w:val="24"/>
          <w:szCs w:val="24"/>
          <w:lang w:val="en-GB"/>
        </w:rPr>
        <w:t>lowe</w:t>
      </w:r>
      <w:r w:rsidR="00201DD4" w:rsidRPr="00D9232D">
        <w:rPr>
          <w:sz w:val="24"/>
          <w:szCs w:val="24"/>
          <w:lang w:val="en-GB"/>
        </w:rPr>
        <w:t>st</w:t>
      </w:r>
      <w:r w:rsidR="00B052F7" w:rsidRPr="00D9232D">
        <w:rPr>
          <w:sz w:val="24"/>
          <w:szCs w:val="24"/>
          <w:lang w:val="en-GB"/>
        </w:rPr>
        <w:t xml:space="preserve"> odds for heavy use of the </w:t>
      </w:r>
      <w:r w:rsidR="00D9232D">
        <w:rPr>
          <w:sz w:val="24"/>
          <w:szCs w:val="24"/>
          <w:lang w:val="en-GB"/>
        </w:rPr>
        <w:t>Internet</w:t>
      </w:r>
      <w:r w:rsidR="00B052F7" w:rsidRPr="00D9232D">
        <w:rPr>
          <w:sz w:val="24"/>
          <w:szCs w:val="24"/>
          <w:lang w:val="en-GB"/>
        </w:rPr>
        <w:t xml:space="preserve"> in the school </w:t>
      </w:r>
      <w:r w:rsidR="00201DD4" w:rsidRPr="00D9232D">
        <w:rPr>
          <w:sz w:val="24"/>
          <w:szCs w:val="24"/>
          <w:lang w:val="en-GB"/>
        </w:rPr>
        <w:t>(odds ratio, 0.58 [95% CI, 0.46-0.74]).</w:t>
      </w:r>
      <w:r w:rsidR="00D85F0A" w:rsidRPr="00D9232D">
        <w:rPr>
          <w:sz w:val="24"/>
          <w:szCs w:val="24"/>
          <w:lang w:val="en-GB"/>
        </w:rPr>
        <w:t xml:space="preserve"> </w:t>
      </w:r>
    </w:p>
    <w:p w14:paraId="7AD7C9F5" w14:textId="798F0F4A" w:rsidR="00CF34F4" w:rsidRDefault="00185E2E" w:rsidP="004E289D">
      <w:pPr>
        <w:spacing w:line="480" w:lineRule="auto"/>
        <w:rPr>
          <w:sz w:val="24"/>
          <w:szCs w:val="24"/>
          <w:lang w:val="en-GB"/>
        </w:rPr>
      </w:pPr>
      <w:bookmarkStart w:id="19" w:name="_Hlk76972069"/>
      <w:r w:rsidRPr="00185E2E">
        <w:rPr>
          <w:sz w:val="24"/>
          <w:szCs w:val="24"/>
          <w:lang w:val="en-GB"/>
        </w:rPr>
        <w:t xml:space="preserve">Sensitivity analyses showed similar results for the examined association using the original </w:t>
      </w:r>
      <w:r w:rsidR="00442540">
        <w:rPr>
          <w:sz w:val="24"/>
          <w:szCs w:val="24"/>
          <w:lang w:val="en-GB"/>
        </w:rPr>
        <w:t>age of fi</w:t>
      </w:r>
      <w:r w:rsidR="00CF34F4">
        <w:rPr>
          <w:sz w:val="24"/>
          <w:szCs w:val="24"/>
          <w:lang w:val="en-GB"/>
        </w:rPr>
        <w:t>r</w:t>
      </w:r>
      <w:r w:rsidR="00442540">
        <w:rPr>
          <w:sz w:val="24"/>
          <w:szCs w:val="24"/>
          <w:lang w:val="en-GB"/>
        </w:rPr>
        <w:t>st exposure</w:t>
      </w:r>
      <w:r w:rsidRPr="00185E2E">
        <w:rPr>
          <w:sz w:val="24"/>
          <w:szCs w:val="24"/>
          <w:lang w:val="en-GB"/>
        </w:rPr>
        <w:t xml:space="preserve"> to </w:t>
      </w:r>
      <w:r w:rsidR="00442540">
        <w:rPr>
          <w:sz w:val="24"/>
          <w:szCs w:val="24"/>
          <w:lang w:val="en-GB"/>
        </w:rPr>
        <w:t>I</w:t>
      </w:r>
      <w:r w:rsidRPr="00185E2E">
        <w:rPr>
          <w:sz w:val="24"/>
          <w:szCs w:val="24"/>
          <w:lang w:val="en-GB"/>
        </w:rPr>
        <w:t xml:space="preserve">nternet categories as well as for the original categories for heavy use of </w:t>
      </w:r>
      <w:r>
        <w:rPr>
          <w:sz w:val="24"/>
          <w:szCs w:val="24"/>
          <w:lang w:val="en-GB"/>
        </w:rPr>
        <w:t xml:space="preserve">the Internet </w:t>
      </w:r>
      <w:r w:rsidR="00E20A91">
        <w:rPr>
          <w:sz w:val="24"/>
          <w:szCs w:val="24"/>
          <w:lang w:val="en-GB"/>
        </w:rPr>
        <w:t xml:space="preserve">in </w:t>
      </w:r>
      <w:r>
        <w:rPr>
          <w:sz w:val="24"/>
          <w:szCs w:val="24"/>
          <w:lang w:val="en-GB"/>
        </w:rPr>
        <w:t xml:space="preserve">the three domains. </w:t>
      </w:r>
    </w:p>
    <w:bookmarkEnd w:id="19"/>
    <w:p w14:paraId="57277B45" w14:textId="5F4397F1" w:rsidR="007D583A" w:rsidRPr="00D9232D" w:rsidRDefault="007D583A" w:rsidP="001612B0">
      <w:pPr>
        <w:pStyle w:val="Heading1"/>
      </w:pPr>
      <w:r w:rsidRPr="00D9232D">
        <w:t>Discussion</w:t>
      </w:r>
    </w:p>
    <w:p w14:paraId="4F485E3E" w14:textId="02E8DAA5" w:rsidR="002E65AE" w:rsidRPr="00D9232D" w:rsidRDefault="00ED533B" w:rsidP="004E289D">
      <w:pPr>
        <w:spacing w:line="480" w:lineRule="auto"/>
        <w:rPr>
          <w:sz w:val="24"/>
          <w:szCs w:val="24"/>
          <w:lang w:val="en-GB"/>
        </w:rPr>
      </w:pPr>
      <w:r w:rsidRPr="00D9232D">
        <w:rPr>
          <w:sz w:val="24"/>
          <w:szCs w:val="24"/>
          <w:lang w:val="en-GB"/>
        </w:rPr>
        <w:t xml:space="preserve">To our knowledge, this is the first study analysing age of </w:t>
      </w:r>
      <w:r w:rsidR="00EC1C4E">
        <w:rPr>
          <w:sz w:val="24"/>
          <w:szCs w:val="24"/>
          <w:lang w:val="en-GB"/>
        </w:rPr>
        <w:t>I</w:t>
      </w:r>
      <w:r w:rsidR="00E82111">
        <w:rPr>
          <w:sz w:val="24"/>
          <w:szCs w:val="24"/>
          <w:lang w:val="en-GB"/>
        </w:rPr>
        <w:t xml:space="preserve">nternet </w:t>
      </w:r>
      <w:r w:rsidRPr="00D9232D">
        <w:rPr>
          <w:sz w:val="24"/>
          <w:szCs w:val="24"/>
          <w:lang w:val="en-GB"/>
        </w:rPr>
        <w:t xml:space="preserve">initiation and </w:t>
      </w:r>
      <w:r w:rsidR="007E02DB">
        <w:rPr>
          <w:sz w:val="24"/>
          <w:szCs w:val="24"/>
          <w:lang w:val="en-GB"/>
        </w:rPr>
        <w:t xml:space="preserve">heavy </w:t>
      </w:r>
      <w:r w:rsidR="00D9232D">
        <w:rPr>
          <w:sz w:val="24"/>
          <w:szCs w:val="24"/>
          <w:lang w:val="en-GB"/>
        </w:rPr>
        <w:t>Internet</w:t>
      </w:r>
      <w:r w:rsidRPr="00D9232D">
        <w:rPr>
          <w:sz w:val="24"/>
          <w:szCs w:val="24"/>
          <w:lang w:val="en-GB"/>
        </w:rPr>
        <w:t xml:space="preserve"> </w:t>
      </w:r>
      <w:r w:rsidR="007E02DB">
        <w:rPr>
          <w:sz w:val="24"/>
          <w:szCs w:val="24"/>
          <w:lang w:val="en-GB"/>
        </w:rPr>
        <w:t xml:space="preserve">use </w:t>
      </w:r>
      <w:r w:rsidR="00161F2D" w:rsidRPr="00D9232D">
        <w:rPr>
          <w:sz w:val="24"/>
          <w:szCs w:val="24"/>
          <w:lang w:val="en-GB"/>
        </w:rPr>
        <w:t>among</w:t>
      </w:r>
      <w:r w:rsidR="00A87697" w:rsidRPr="00D9232D">
        <w:rPr>
          <w:sz w:val="24"/>
          <w:szCs w:val="24"/>
          <w:lang w:val="en-GB"/>
        </w:rPr>
        <w:t xml:space="preserve"> adolescents</w:t>
      </w:r>
      <w:r w:rsidR="00655443">
        <w:rPr>
          <w:sz w:val="24"/>
          <w:szCs w:val="24"/>
          <w:lang w:val="en-GB"/>
        </w:rPr>
        <w:t xml:space="preserve"> from a large international sample</w:t>
      </w:r>
      <w:r w:rsidR="00A87697" w:rsidRPr="00D9232D">
        <w:rPr>
          <w:sz w:val="24"/>
          <w:szCs w:val="24"/>
          <w:lang w:val="en-GB"/>
        </w:rPr>
        <w:t xml:space="preserve">. </w:t>
      </w:r>
      <w:r w:rsidR="006A6441" w:rsidRPr="00D9232D">
        <w:rPr>
          <w:sz w:val="24"/>
          <w:szCs w:val="24"/>
          <w:lang w:val="en-GB"/>
        </w:rPr>
        <w:t xml:space="preserve">The prevalence of </w:t>
      </w:r>
      <w:r w:rsidR="006A6441" w:rsidRPr="00D9232D">
        <w:rPr>
          <w:sz w:val="24"/>
          <w:szCs w:val="24"/>
          <w:lang w:val="en-GB"/>
        </w:rPr>
        <w:lastRenderedPageBreak/>
        <w:t xml:space="preserve">heavy </w:t>
      </w:r>
      <w:r w:rsidR="00D9232D">
        <w:rPr>
          <w:sz w:val="24"/>
          <w:szCs w:val="24"/>
          <w:lang w:val="en-GB"/>
        </w:rPr>
        <w:t>Internet</w:t>
      </w:r>
      <w:r w:rsidR="006A6441" w:rsidRPr="00D9232D">
        <w:rPr>
          <w:sz w:val="24"/>
          <w:szCs w:val="24"/>
          <w:lang w:val="en-GB"/>
        </w:rPr>
        <w:t xml:space="preserve"> </w:t>
      </w:r>
      <w:r w:rsidR="00624CC0">
        <w:rPr>
          <w:sz w:val="24"/>
          <w:szCs w:val="24"/>
          <w:lang w:val="en-GB"/>
        </w:rPr>
        <w:t xml:space="preserve">use </w:t>
      </w:r>
      <w:r w:rsidR="006A6441" w:rsidRPr="00D9232D">
        <w:rPr>
          <w:sz w:val="24"/>
          <w:szCs w:val="24"/>
          <w:lang w:val="en-GB"/>
        </w:rPr>
        <w:t xml:space="preserve">during both weekends and weekdays outside schools remained consistently higher for those adolescents </w:t>
      </w:r>
      <w:r w:rsidR="00523234" w:rsidRPr="00D9232D">
        <w:rPr>
          <w:sz w:val="24"/>
          <w:szCs w:val="24"/>
          <w:lang w:val="en-GB"/>
        </w:rPr>
        <w:t xml:space="preserve">with an earlier </w:t>
      </w:r>
      <w:r w:rsidR="00442540">
        <w:rPr>
          <w:sz w:val="24"/>
          <w:szCs w:val="24"/>
          <w:lang w:val="en-GB"/>
        </w:rPr>
        <w:t>age of first exposure</w:t>
      </w:r>
      <w:r w:rsidR="00523234" w:rsidRPr="00D9232D">
        <w:rPr>
          <w:sz w:val="24"/>
          <w:szCs w:val="24"/>
          <w:lang w:val="en-GB"/>
        </w:rPr>
        <w:t xml:space="preserve"> </w:t>
      </w:r>
      <w:r w:rsidR="00442540">
        <w:rPr>
          <w:sz w:val="24"/>
          <w:szCs w:val="24"/>
          <w:lang w:val="en-GB"/>
        </w:rPr>
        <w:t>to</w:t>
      </w:r>
      <w:r w:rsidR="00624CC0">
        <w:rPr>
          <w:sz w:val="24"/>
          <w:szCs w:val="24"/>
          <w:lang w:val="en-GB"/>
        </w:rPr>
        <w:t xml:space="preserve"> </w:t>
      </w:r>
      <w:r w:rsidR="00CF34F4">
        <w:rPr>
          <w:sz w:val="24"/>
          <w:szCs w:val="24"/>
          <w:lang w:val="en-GB"/>
        </w:rPr>
        <w:t xml:space="preserve">the </w:t>
      </w:r>
      <w:r w:rsidR="00D9232D">
        <w:rPr>
          <w:sz w:val="24"/>
          <w:szCs w:val="24"/>
          <w:lang w:val="en-GB"/>
        </w:rPr>
        <w:t>Internet</w:t>
      </w:r>
      <w:r w:rsidR="00CF34F4">
        <w:rPr>
          <w:sz w:val="24"/>
          <w:szCs w:val="24"/>
          <w:lang w:val="en-GB"/>
        </w:rPr>
        <w:t>,</w:t>
      </w:r>
      <w:r w:rsidR="00624CC0">
        <w:rPr>
          <w:sz w:val="24"/>
          <w:szCs w:val="24"/>
          <w:lang w:val="en-GB"/>
        </w:rPr>
        <w:t xml:space="preserve"> </w:t>
      </w:r>
      <w:r w:rsidR="00523234" w:rsidRPr="00D9232D">
        <w:rPr>
          <w:sz w:val="24"/>
          <w:szCs w:val="24"/>
          <w:lang w:val="en-GB"/>
        </w:rPr>
        <w:t xml:space="preserve">in a significant </w:t>
      </w:r>
      <w:r w:rsidR="006B69AA">
        <w:rPr>
          <w:sz w:val="24"/>
          <w:szCs w:val="24"/>
          <w:lang w:val="en-GB"/>
        </w:rPr>
        <w:t>linear</w:t>
      </w:r>
      <w:r w:rsidR="006B69AA" w:rsidRPr="00D9232D">
        <w:rPr>
          <w:sz w:val="24"/>
          <w:szCs w:val="24"/>
          <w:lang w:val="en-GB"/>
        </w:rPr>
        <w:t xml:space="preserve"> fashion</w:t>
      </w:r>
      <w:r w:rsidR="00C7683E" w:rsidRPr="00D9232D">
        <w:rPr>
          <w:sz w:val="24"/>
          <w:szCs w:val="24"/>
          <w:lang w:val="en-GB"/>
        </w:rPr>
        <w:t xml:space="preserve"> in the examined geographical regions</w:t>
      </w:r>
      <w:bookmarkStart w:id="20" w:name="_Hlk76972917"/>
      <w:r w:rsidR="00CF34F4">
        <w:rPr>
          <w:sz w:val="24"/>
          <w:szCs w:val="24"/>
          <w:lang w:val="en-GB"/>
        </w:rPr>
        <w:t xml:space="preserve">. </w:t>
      </w:r>
      <w:bookmarkStart w:id="21" w:name="_Hlk76998001"/>
      <w:r w:rsidR="00CF34F4">
        <w:rPr>
          <w:sz w:val="24"/>
          <w:szCs w:val="24"/>
          <w:lang w:val="en-GB"/>
        </w:rPr>
        <w:t xml:space="preserve">However, </w:t>
      </w:r>
      <w:r w:rsidR="00F03F1B">
        <w:rPr>
          <w:sz w:val="24"/>
          <w:szCs w:val="24"/>
          <w:lang w:val="en-GB"/>
        </w:rPr>
        <w:t xml:space="preserve">these trends </w:t>
      </w:r>
      <w:r w:rsidR="00185E2E">
        <w:rPr>
          <w:sz w:val="24"/>
          <w:szCs w:val="24"/>
          <w:lang w:val="en-GB"/>
        </w:rPr>
        <w:t xml:space="preserve">were not completely confirmed </w:t>
      </w:r>
      <w:r w:rsidR="00F03F1B">
        <w:rPr>
          <w:sz w:val="24"/>
          <w:szCs w:val="24"/>
          <w:lang w:val="en-GB"/>
        </w:rPr>
        <w:t>for less represented geographical areas such as Africa and America</w:t>
      </w:r>
      <w:r w:rsidR="009F7C4F">
        <w:rPr>
          <w:sz w:val="24"/>
          <w:szCs w:val="24"/>
          <w:lang w:val="en-GB"/>
        </w:rPr>
        <w:t>s</w:t>
      </w:r>
      <w:r w:rsidR="00F03F1B">
        <w:rPr>
          <w:sz w:val="24"/>
          <w:szCs w:val="24"/>
          <w:lang w:val="en-GB"/>
        </w:rPr>
        <w:t xml:space="preserve"> A</w:t>
      </w:r>
      <w:r w:rsidR="00185E2E">
        <w:rPr>
          <w:sz w:val="24"/>
          <w:szCs w:val="24"/>
          <w:lang w:val="en-GB"/>
        </w:rPr>
        <w:t xml:space="preserve"> </w:t>
      </w:r>
      <w:r w:rsidR="00CF34F4">
        <w:rPr>
          <w:sz w:val="24"/>
          <w:szCs w:val="24"/>
          <w:lang w:val="en-GB"/>
        </w:rPr>
        <w:t>with regards to school time internet usage</w:t>
      </w:r>
      <w:r w:rsidR="00F03F1B">
        <w:rPr>
          <w:sz w:val="24"/>
          <w:szCs w:val="24"/>
          <w:lang w:val="en-GB"/>
        </w:rPr>
        <w:t>.</w:t>
      </w:r>
      <w:bookmarkEnd w:id="20"/>
      <w:r w:rsidR="00F96FBB">
        <w:rPr>
          <w:sz w:val="24"/>
          <w:szCs w:val="24"/>
          <w:lang w:val="en-GB"/>
        </w:rPr>
        <w:t xml:space="preserve"> </w:t>
      </w:r>
      <w:bookmarkEnd w:id="21"/>
      <w:r w:rsidR="00523234" w:rsidRPr="00D9232D">
        <w:rPr>
          <w:sz w:val="24"/>
          <w:szCs w:val="24"/>
          <w:lang w:val="en-GB"/>
        </w:rPr>
        <w:t xml:space="preserve">Prevalence of heavy </w:t>
      </w:r>
      <w:r w:rsidR="005525D5">
        <w:rPr>
          <w:sz w:val="24"/>
          <w:szCs w:val="24"/>
          <w:lang w:val="en-GB"/>
        </w:rPr>
        <w:t>I</w:t>
      </w:r>
      <w:r w:rsidR="00D9232D">
        <w:rPr>
          <w:sz w:val="24"/>
          <w:szCs w:val="24"/>
          <w:lang w:val="en-GB"/>
        </w:rPr>
        <w:t>nternet</w:t>
      </w:r>
      <w:r w:rsidR="00523234" w:rsidRPr="00D9232D">
        <w:rPr>
          <w:sz w:val="24"/>
          <w:szCs w:val="24"/>
          <w:lang w:val="en-GB"/>
        </w:rPr>
        <w:t xml:space="preserve"> </w:t>
      </w:r>
      <w:r w:rsidR="005525D5">
        <w:rPr>
          <w:sz w:val="24"/>
          <w:szCs w:val="24"/>
          <w:lang w:val="en-GB"/>
        </w:rPr>
        <w:t xml:space="preserve">use </w:t>
      </w:r>
      <w:r w:rsidR="00523234" w:rsidRPr="00D9232D">
        <w:rPr>
          <w:sz w:val="24"/>
          <w:szCs w:val="24"/>
          <w:lang w:val="en-GB"/>
        </w:rPr>
        <w:t xml:space="preserve">was </w:t>
      </w:r>
      <w:r w:rsidR="00C7683E" w:rsidRPr="00D9232D">
        <w:rPr>
          <w:sz w:val="24"/>
          <w:szCs w:val="24"/>
          <w:lang w:val="en-GB"/>
        </w:rPr>
        <w:t>substantially higher</w:t>
      </w:r>
      <w:r w:rsidR="00523234" w:rsidRPr="00D9232D">
        <w:rPr>
          <w:sz w:val="24"/>
          <w:szCs w:val="24"/>
          <w:lang w:val="en-GB"/>
        </w:rPr>
        <w:t xml:space="preserve"> </w:t>
      </w:r>
      <w:r w:rsidR="00C7683E" w:rsidRPr="00D9232D">
        <w:rPr>
          <w:sz w:val="24"/>
          <w:szCs w:val="24"/>
          <w:lang w:val="en-GB"/>
        </w:rPr>
        <w:t xml:space="preserve">during weekends and weekdays in relation to school time, which </w:t>
      </w:r>
      <w:r w:rsidR="00B4754E" w:rsidRPr="00D9232D">
        <w:rPr>
          <w:sz w:val="24"/>
          <w:szCs w:val="24"/>
          <w:lang w:val="en-GB"/>
        </w:rPr>
        <w:t xml:space="preserve">also </w:t>
      </w:r>
      <w:r w:rsidR="00C7683E" w:rsidRPr="00D9232D">
        <w:rPr>
          <w:sz w:val="24"/>
          <w:szCs w:val="24"/>
          <w:lang w:val="en-GB"/>
        </w:rPr>
        <w:t xml:space="preserve">showed significant higher </w:t>
      </w:r>
      <w:r w:rsidR="009B7EBE" w:rsidRPr="00D9232D">
        <w:rPr>
          <w:sz w:val="24"/>
          <w:szCs w:val="24"/>
          <w:lang w:val="en-GB"/>
        </w:rPr>
        <w:t xml:space="preserve">odds of </w:t>
      </w:r>
      <w:r w:rsidR="00C7683E" w:rsidRPr="00D9232D">
        <w:rPr>
          <w:sz w:val="24"/>
          <w:szCs w:val="24"/>
          <w:lang w:val="en-GB"/>
        </w:rPr>
        <w:t xml:space="preserve">heavy use of the </w:t>
      </w:r>
      <w:r w:rsidR="00D9232D">
        <w:rPr>
          <w:sz w:val="24"/>
          <w:szCs w:val="24"/>
          <w:lang w:val="en-GB"/>
        </w:rPr>
        <w:t>Internet</w:t>
      </w:r>
      <w:r w:rsidR="00C7683E" w:rsidRPr="00D9232D">
        <w:rPr>
          <w:sz w:val="24"/>
          <w:szCs w:val="24"/>
          <w:lang w:val="en-GB"/>
        </w:rPr>
        <w:t xml:space="preserve"> </w:t>
      </w:r>
      <w:r w:rsidR="00D85F0A" w:rsidRPr="00D9232D">
        <w:rPr>
          <w:sz w:val="24"/>
          <w:szCs w:val="24"/>
          <w:lang w:val="en-GB"/>
        </w:rPr>
        <w:t xml:space="preserve">overall </w:t>
      </w:r>
      <w:r w:rsidR="00C7683E" w:rsidRPr="00D9232D">
        <w:rPr>
          <w:sz w:val="24"/>
          <w:szCs w:val="24"/>
          <w:lang w:val="en-GB"/>
        </w:rPr>
        <w:t xml:space="preserve">for those whose </w:t>
      </w:r>
      <w:r w:rsidR="00EB699E">
        <w:rPr>
          <w:sz w:val="24"/>
          <w:szCs w:val="24"/>
          <w:lang w:val="en-GB"/>
        </w:rPr>
        <w:t xml:space="preserve">first </w:t>
      </w:r>
      <w:r w:rsidR="00D9232D">
        <w:rPr>
          <w:sz w:val="24"/>
          <w:szCs w:val="24"/>
          <w:lang w:val="en-GB"/>
        </w:rPr>
        <w:t>Internet</w:t>
      </w:r>
      <w:r w:rsidR="00C7683E" w:rsidRPr="00D9232D">
        <w:rPr>
          <w:sz w:val="24"/>
          <w:szCs w:val="24"/>
          <w:lang w:val="en-GB"/>
        </w:rPr>
        <w:t xml:space="preserve"> </w:t>
      </w:r>
      <w:r w:rsidR="00EB699E">
        <w:rPr>
          <w:sz w:val="24"/>
          <w:szCs w:val="24"/>
          <w:lang w:val="en-GB"/>
        </w:rPr>
        <w:t>exposure</w:t>
      </w:r>
      <w:r w:rsidR="00E82111">
        <w:rPr>
          <w:sz w:val="24"/>
          <w:szCs w:val="24"/>
          <w:lang w:val="en-GB"/>
        </w:rPr>
        <w:t xml:space="preserve"> age </w:t>
      </w:r>
      <w:r w:rsidR="00C7683E" w:rsidRPr="00D9232D">
        <w:rPr>
          <w:sz w:val="24"/>
          <w:szCs w:val="24"/>
          <w:lang w:val="en-GB"/>
        </w:rPr>
        <w:t xml:space="preserve">was </w:t>
      </w:r>
      <w:r w:rsidR="00E82111">
        <w:rPr>
          <w:rFonts w:cstheme="minorHAnsi"/>
          <w:sz w:val="24"/>
          <w:szCs w:val="24"/>
          <w:lang w:val="en-GB"/>
        </w:rPr>
        <w:t>≤</w:t>
      </w:r>
      <w:r w:rsidR="00EC1C4E">
        <w:rPr>
          <w:rFonts w:cstheme="minorHAnsi"/>
          <w:sz w:val="24"/>
          <w:szCs w:val="24"/>
          <w:lang w:val="en-GB"/>
        </w:rPr>
        <w:t xml:space="preserve"> </w:t>
      </w:r>
      <w:r w:rsidR="00D85F0A" w:rsidRPr="00D9232D">
        <w:rPr>
          <w:sz w:val="24"/>
          <w:szCs w:val="24"/>
          <w:lang w:val="en-GB"/>
        </w:rPr>
        <w:t xml:space="preserve">9 years old. </w:t>
      </w:r>
      <w:proofErr w:type="gramStart"/>
      <w:r w:rsidR="005525D5">
        <w:rPr>
          <w:sz w:val="24"/>
          <w:szCs w:val="24"/>
          <w:lang w:val="en-GB"/>
        </w:rPr>
        <w:t>In p</w:t>
      </w:r>
      <w:r w:rsidR="00D85F0A" w:rsidRPr="00D9232D">
        <w:rPr>
          <w:sz w:val="24"/>
          <w:szCs w:val="24"/>
          <w:lang w:val="en-GB"/>
        </w:rPr>
        <w:t>articular, both</w:t>
      </w:r>
      <w:proofErr w:type="gramEnd"/>
      <w:r w:rsidR="00D85F0A" w:rsidRPr="00D9232D">
        <w:rPr>
          <w:sz w:val="24"/>
          <w:szCs w:val="24"/>
          <w:lang w:val="en-GB"/>
        </w:rPr>
        <w:t xml:space="preserve"> Eastern Mediterranean and America B/C regions </w:t>
      </w:r>
      <w:r w:rsidR="00986859" w:rsidRPr="00D9232D">
        <w:rPr>
          <w:sz w:val="24"/>
          <w:szCs w:val="24"/>
          <w:lang w:val="en-GB"/>
        </w:rPr>
        <w:t xml:space="preserve">pointed at a stronger </w:t>
      </w:r>
      <w:r w:rsidR="000E2631" w:rsidRPr="00D9232D">
        <w:rPr>
          <w:sz w:val="24"/>
          <w:szCs w:val="24"/>
          <w:lang w:val="en-GB"/>
        </w:rPr>
        <w:t xml:space="preserve">negative </w:t>
      </w:r>
      <w:r w:rsidR="00986859" w:rsidRPr="00D9232D">
        <w:rPr>
          <w:sz w:val="24"/>
          <w:szCs w:val="24"/>
          <w:lang w:val="en-GB"/>
        </w:rPr>
        <w:t xml:space="preserve">association between earlier </w:t>
      </w:r>
      <w:r w:rsidR="00442540">
        <w:rPr>
          <w:sz w:val="24"/>
          <w:szCs w:val="24"/>
          <w:lang w:val="en-GB"/>
        </w:rPr>
        <w:t>age of first exposure</w:t>
      </w:r>
      <w:r w:rsidR="00986859" w:rsidRPr="00D9232D">
        <w:rPr>
          <w:sz w:val="24"/>
          <w:szCs w:val="24"/>
          <w:lang w:val="en-GB"/>
        </w:rPr>
        <w:t xml:space="preserve"> and heavy </w:t>
      </w:r>
      <w:r w:rsidR="001156B7">
        <w:rPr>
          <w:sz w:val="24"/>
          <w:szCs w:val="24"/>
          <w:lang w:val="en-GB"/>
        </w:rPr>
        <w:t>Internet use</w:t>
      </w:r>
      <w:r w:rsidR="00986859" w:rsidRPr="00D9232D">
        <w:rPr>
          <w:sz w:val="24"/>
          <w:szCs w:val="24"/>
          <w:lang w:val="en-GB"/>
        </w:rPr>
        <w:t xml:space="preserve"> during weekends and weekdays outside of school, </w:t>
      </w:r>
      <w:r w:rsidR="009B7EBE" w:rsidRPr="00D9232D">
        <w:rPr>
          <w:sz w:val="24"/>
          <w:szCs w:val="24"/>
          <w:lang w:val="en-GB"/>
        </w:rPr>
        <w:t>and</w:t>
      </w:r>
      <w:r w:rsidR="004F74AD" w:rsidRPr="00D9232D">
        <w:rPr>
          <w:sz w:val="24"/>
          <w:szCs w:val="24"/>
          <w:lang w:val="en-GB"/>
        </w:rPr>
        <w:t xml:space="preserve"> during school time, although the latter was importantly less accentuated. </w:t>
      </w:r>
      <w:r w:rsidR="002E65AE" w:rsidRPr="00D9232D">
        <w:rPr>
          <w:sz w:val="24"/>
          <w:szCs w:val="24"/>
          <w:lang w:val="en-GB"/>
        </w:rPr>
        <w:t xml:space="preserve">These results support the notion of a </w:t>
      </w:r>
      <w:r w:rsidR="007D29BD" w:rsidRPr="00D9232D">
        <w:rPr>
          <w:sz w:val="24"/>
          <w:szCs w:val="24"/>
          <w:lang w:val="en-GB"/>
        </w:rPr>
        <w:t xml:space="preserve">widespread </w:t>
      </w:r>
      <w:r w:rsidR="00861E9C" w:rsidRPr="00D9232D">
        <w:rPr>
          <w:sz w:val="24"/>
          <w:szCs w:val="24"/>
          <w:lang w:val="en-GB"/>
        </w:rPr>
        <w:t>potential lin</w:t>
      </w:r>
      <w:r w:rsidR="007D29BD" w:rsidRPr="00D9232D">
        <w:rPr>
          <w:sz w:val="24"/>
          <w:szCs w:val="24"/>
          <w:lang w:val="en-GB"/>
        </w:rPr>
        <w:t xml:space="preserve">k between </w:t>
      </w:r>
      <w:r w:rsidR="00442540">
        <w:rPr>
          <w:sz w:val="24"/>
          <w:szCs w:val="24"/>
          <w:lang w:val="en-GB"/>
        </w:rPr>
        <w:t>age of first exposure</w:t>
      </w:r>
      <w:r w:rsidR="007D29BD" w:rsidRPr="00D9232D">
        <w:rPr>
          <w:sz w:val="24"/>
          <w:szCs w:val="24"/>
          <w:lang w:val="en-GB"/>
        </w:rPr>
        <w:t xml:space="preserve"> and heavy </w:t>
      </w:r>
      <w:r w:rsidR="00655443">
        <w:rPr>
          <w:sz w:val="24"/>
          <w:szCs w:val="24"/>
          <w:lang w:val="en-GB"/>
        </w:rPr>
        <w:t>Internet use</w:t>
      </w:r>
      <w:r w:rsidR="007D29BD" w:rsidRPr="00D9232D">
        <w:rPr>
          <w:sz w:val="24"/>
          <w:szCs w:val="24"/>
          <w:lang w:val="en-GB"/>
        </w:rPr>
        <w:t xml:space="preserve"> </w:t>
      </w:r>
      <w:r w:rsidR="00E21902" w:rsidRPr="00D9232D">
        <w:rPr>
          <w:sz w:val="24"/>
          <w:szCs w:val="24"/>
          <w:lang w:val="en-GB"/>
        </w:rPr>
        <w:t>during adolescence</w:t>
      </w:r>
      <w:r w:rsidR="00655443">
        <w:rPr>
          <w:sz w:val="24"/>
          <w:szCs w:val="24"/>
          <w:lang w:val="en-GB"/>
        </w:rPr>
        <w:t xml:space="preserve">. </w:t>
      </w:r>
      <w:r w:rsidR="00655443" w:rsidRPr="00655443">
        <w:rPr>
          <w:sz w:val="24"/>
          <w:szCs w:val="24"/>
          <w:lang w:val="en-GB"/>
        </w:rPr>
        <w:t>Within this, the findings further indicate that these assoc</w:t>
      </w:r>
      <w:r w:rsidR="00655443">
        <w:rPr>
          <w:sz w:val="24"/>
          <w:szCs w:val="24"/>
          <w:lang w:val="en-GB"/>
        </w:rPr>
        <w:t>i</w:t>
      </w:r>
      <w:r w:rsidR="00655443" w:rsidRPr="00655443">
        <w:rPr>
          <w:sz w:val="24"/>
          <w:szCs w:val="24"/>
          <w:lang w:val="en-GB"/>
        </w:rPr>
        <w:t>ations</w:t>
      </w:r>
      <w:r w:rsidR="00E21902" w:rsidRPr="00D9232D">
        <w:rPr>
          <w:sz w:val="24"/>
          <w:szCs w:val="24"/>
          <w:lang w:val="en-GB"/>
        </w:rPr>
        <w:t xml:space="preserve"> vary</w:t>
      </w:r>
      <w:r w:rsidR="007D29BD" w:rsidRPr="00D9232D">
        <w:rPr>
          <w:sz w:val="24"/>
          <w:szCs w:val="24"/>
          <w:lang w:val="en-GB"/>
        </w:rPr>
        <w:t xml:space="preserve"> </w:t>
      </w:r>
      <w:r w:rsidR="00655443">
        <w:rPr>
          <w:sz w:val="24"/>
          <w:szCs w:val="24"/>
          <w:lang w:val="en-GB"/>
        </w:rPr>
        <w:t>with regards to</w:t>
      </w:r>
      <w:r w:rsidR="007D29BD" w:rsidRPr="00D9232D">
        <w:rPr>
          <w:sz w:val="24"/>
          <w:szCs w:val="24"/>
          <w:lang w:val="en-GB"/>
        </w:rPr>
        <w:t xml:space="preserve"> the </w:t>
      </w:r>
      <w:r w:rsidR="00E21902" w:rsidRPr="00D9232D">
        <w:rPr>
          <w:sz w:val="24"/>
          <w:szCs w:val="24"/>
          <w:lang w:val="en-GB"/>
        </w:rPr>
        <w:t>examined</w:t>
      </w:r>
      <w:r w:rsidR="007D29BD" w:rsidRPr="00D9232D">
        <w:rPr>
          <w:sz w:val="24"/>
          <w:szCs w:val="24"/>
          <w:lang w:val="en-GB"/>
        </w:rPr>
        <w:t xml:space="preserve"> domain (i.e., the association is more pronounced during weekends and weekdays outside the school than during school time)</w:t>
      </w:r>
      <w:r w:rsidR="00A87697" w:rsidRPr="00D9232D">
        <w:rPr>
          <w:sz w:val="24"/>
          <w:szCs w:val="24"/>
          <w:lang w:val="en-GB"/>
        </w:rPr>
        <w:t>, and the geographical region</w:t>
      </w:r>
      <w:r w:rsidR="00BE7033" w:rsidRPr="00D9232D">
        <w:rPr>
          <w:sz w:val="24"/>
          <w:szCs w:val="24"/>
          <w:lang w:val="en-GB"/>
        </w:rPr>
        <w:t>.</w:t>
      </w:r>
      <w:r w:rsidR="00E21902" w:rsidRPr="00D9232D">
        <w:rPr>
          <w:sz w:val="24"/>
          <w:szCs w:val="24"/>
          <w:lang w:val="en-GB"/>
        </w:rPr>
        <w:t xml:space="preserve"> </w:t>
      </w:r>
    </w:p>
    <w:p w14:paraId="3024B535" w14:textId="00D66179" w:rsidR="00486539" w:rsidRPr="00D9232D" w:rsidRDefault="0023185C" w:rsidP="004E289D">
      <w:pPr>
        <w:spacing w:line="480" w:lineRule="auto"/>
        <w:rPr>
          <w:sz w:val="24"/>
          <w:szCs w:val="24"/>
          <w:lang w:val="en-GB"/>
        </w:rPr>
      </w:pPr>
      <w:r w:rsidRPr="00D9232D">
        <w:rPr>
          <w:sz w:val="24"/>
          <w:szCs w:val="24"/>
          <w:lang w:val="en-GB"/>
        </w:rPr>
        <w:t>A study by Martins et al</w:t>
      </w:r>
      <w:r w:rsidR="00064DDF" w:rsidRPr="00D9232D">
        <w:rPr>
          <w:sz w:val="24"/>
          <w:szCs w:val="24"/>
          <w:lang w:val="en-GB"/>
        </w:rPr>
        <w:t xml:space="preserve">. </w:t>
      </w:r>
      <w:r w:rsidRPr="00D9232D">
        <w:rPr>
          <w:sz w:val="24"/>
          <w:szCs w:val="24"/>
          <w:lang w:val="en-GB"/>
        </w:rPr>
        <w:t xml:space="preserve">observed a negative association between </w:t>
      </w:r>
      <w:r w:rsidR="00D9232D">
        <w:rPr>
          <w:sz w:val="24"/>
          <w:szCs w:val="24"/>
          <w:lang w:val="en-GB"/>
        </w:rPr>
        <w:t>Internet</w:t>
      </w:r>
      <w:r w:rsidRPr="00D9232D">
        <w:rPr>
          <w:sz w:val="24"/>
          <w:szCs w:val="24"/>
          <w:lang w:val="en-GB"/>
        </w:rPr>
        <w:t xml:space="preserve"> addiction in adolescents and parental control</w:t>
      </w:r>
      <w:r w:rsidR="00E9107F">
        <w:rPr>
          <w:sz w:val="24"/>
          <w:szCs w:val="24"/>
          <w:lang w:val="en-GB"/>
        </w:rPr>
        <w:t xml:space="preserve"> </w:t>
      </w:r>
      <w:r w:rsidR="00064DDF" w:rsidRPr="00D9232D">
        <w:rPr>
          <w:sz w:val="24"/>
          <w:szCs w:val="24"/>
          <w:lang w:val="en-GB"/>
        </w:rPr>
        <w:fldChar w:fldCharType="begin" w:fldLock="1"/>
      </w:r>
      <w:r w:rsidR="00E9107F">
        <w:rPr>
          <w:sz w:val="24"/>
          <w:szCs w:val="24"/>
          <w:lang w:val="en-GB"/>
        </w:rPr>
        <w:instrText>ADDIN CSL_CITATION {"citationItems":[{"id":"ITEM-1","itemData":{"DOI":"10.1016/j.ijpam.2019.12.003","ISSN":"23526467","abstract":"Introduction: Excessive Internet use can negatively affect academic performance, family relationships and emotional development among the youth. Such issues have been identified as Internet addiction (IA). We aimed to determine the prevalence of IA among Portuguese adolescents and assess how parental control can relate to IA. Methods: An observational cross-sectional study was performed at public schools within a Portuguese region, using Young's Internet Addiction Test survey. General sociodemographic and emotional well-being data were obtained. A descriptive and bivariate analysis was done among Internet-addicted and average users, followed by a logistic regression analysis. Adjusted odds ratios (aORs) were computed with two-sided P values &lt; .05 for statistical significance. Results: A total of 1916 eligible responses were obtained. Mean age was 15 ± 1.8 years, with a slight predominance of female (53.3%) participants. In our sample, 16.5% were deemed Internet addicted and less likely to have any parental control over Internet use (aOR 0.74, P &lt;.05). Moreover, 28% of the Internet-addicted users were less likely to have control over time spent online (aOR 0.72, P &lt; .05), and close to half were unlikely to have online content restrictions (aOR 0.56, P &lt; .01). Conclusions: Our findings reported a significant rate of Internet-addicted youth. IA was negatively related to parental control. Whenever any kind of parental control over Internet use was reported, IA was less likely to occur. Healthcare professionals should be aware of the risks of IA in adolescents to improve its prevention and intervention.","author":[{"dropping-particle":"","family":"Martins","given":"Miguel Vieira","non-dropping-particle":"","parse-names":false,"suffix":""},{"dropping-particle":"","family":"Formiga","given":"Adriana","non-dropping-particle":"","parse-names":false,"suffix":""},{"dropping-particle":"","family":"Santos","given":"Constança","non-dropping-particle":"","parse-names":false,"suffix":""},{"dropping-particle":"","family":"Sousa","given":"Diana","non-dropping-particle":"","parse-names":false,"suffix":""},{"dropping-particle":"","family":"Resende","given":"Carla","non-dropping-particle":"","parse-names":false,"suffix":""},{"dropping-particle":"","family":"Campos","given":"Ricardo","non-dropping-particle":"","parse-names":false,"suffix":""},{"dropping-particle":"","family":"Nogueira","given":"Natália","non-dropping-particle":"","parse-names":false,"suffix":""},{"dropping-particle":"","family":"Carvalho","given":"Paula","non-dropping-particle":"","parse-names":false,"suffix":""},{"dropping-particle":"","family":"Ferreira","given":"Sofia","non-dropping-particle":"","parse-names":false,"suffix":""}],"container-title":"International Journal of Pediatrics and Adolescent Medicine","id":"ITEM-1","issue":"3","issued":{"date-parts":[["2020"]]},"page":"116-120","title":"Adolescent internet addiction – role of parental control and adolescent behaviours","type":"article-journal","volume":"7"},"uris":["http://www.mendeley.com/documents/?uuid=222d5de3-7105-4f61-b8bc-9da04db381a1"]}],"mendeley":{"formattedCitation":"[18]","plainTextFormattedCitation":"[18]","previouslyFormattedCitation":"[18]"},"properties":{"noteIndex":0},"schema":"https://github.com/citation-style-language/schema/raw/master/csl-citation.json"}</w:instrText>
      </w:r>
      <w:r w:rsidR="00064DDF" w:rsidRPr="00D9232D">
        <w:rPr>
          <w:sz w:val="24"/>
          <w:szCs w:val="24"/>
          <w:lang w:val="en-GB"/>
        </w:rPr>
        <w:fldChar w:fldCharType="separate"/>
      </w:r>
      <w:r w:rsidR="004E289D" w:rsidRPr="004E289D">
        <w:rPr>
          <w:noProof/>
          <w:sz w:val="24"/>
          <w:szCs w:val="24"/>
          <w:lang w:val="en-GB"/>
        </w:rPr>
        <w:t>[18]</w:t>
      </w:r>
      <w:r w:rsidR="00064DDF" w:rsidRPr="00D9232D">
        <w:rPr>
          <w:sz w:val="24"/>
          <w:szCs w:val="24"/>
          <w:lang w:val="en-GB"/>
        </w:rPr>
        <w:fldChar w:fldCharType="end"/>
      </w:r>
      <w:r w:rsidR="00E9107F">
        <w:rPr>
          <w:sz w:val="24"/>
          <w:szCs w:val="24"/>
          <w:lang w:val="en-GB"/>
        </w:rPr>
        <w:t>.</w:t>
      </w:r>
      <w:r w:rsidRPr="00D9232D">
        <w:rPr>
          <w:sz w:val="24"/>
          <w:szCs w:val="24"/>
          <w:lang w:val="en-GB"/>
        </w:rPr>
        <w:t xml:space="preserve"> Hence, parental control</w:t>
      </w:r>
      <w:r w:rsidR="00E20324" w:rsidRPr="00D9232D">
        <w:rPr>
          <w:sz w:val="24"/>
          <w:szCs w:val="24"/>
          <w:lang w:val="en-GB"/>
        </w:rPr>
        <w:t xml:space="preserve"> </w:t>
      </w:r>
      <w:r w:rsidR="00014EEF" w:rsidRPr="00D9232D">
        <w:rPr>
          <w:sz w:val="24"/>
          <w:szCs w:val="24"/>
          <w:lang w:val="en-GB"/>
        </w:rPr>
        <w:t>may</w:t>
      </w:r>
      <w:r w:rsidR="00E20324" w:rsidRPr="00D9232D">
        <w:rPr>
          <w:sz w:val="24"/>
          <w:szCs w:val="24"/>
          <w:lang w:val="en-GB"/>
        </w:rPr>
        <w:t xml:space="preserve"> </w:t>
      </w:r>
      <w:r w:rsidR="00C62876" w:rsidRPr="00D9232D">
        <w:rPr>
          <w:sz w:val="24"/>
          <w:szCs w:val="24"/>
          <w:lang w:val="en-GB"/>
        </w:rPr>
        <w:t xml:space="preserve">play a critical role when modulating the use of </w:t>
      </w:r>
      <w:r w:rsidR="00D9232D">
        <w:rPr>
          <w:sz w:val="24"/>
          <w:szCs w:val="24"/>
          <w:lang w:val="en-GB"/>
        </w:rPr>
        <w:t>Internet</w:t>
      </w:r>
      <w:r w:rsidR="00C62876" w:rsidRPr="00D9232D">
        <w:rPr>
          <w:sz w:val="24"/>
          <w:szCs w:val="24"/>
          <w:lang w:val="en-GB"/>
        </w:rPr>
        <w:t xml:space="preserve"> among </w:t>
      </w:r>
      <w:r w:rsidR="00064DDF" w:rsidRPr="00D9232D">
        <w:rPr>
          <w:sz w:val="24"/>
          <w:szCs w:val="24"/>
          <w:lang w:val="en-GB"/>
        </w:rPr>
        <w:t>adolescents and</w:t>
      </w:r>
      <w:r w:rsidR="00104CE2" w:rsidRPr="00D9232D">
        <w:rPr>
          <w:sz w:val="24"/>
          <w:szCs w:val="24"/>
          <w:lang w:val="en-GB"/>
        </w:rPr>
        <w:t xml:space="preserve"> could </w:t>
      </w:r>
      <w:r w:rsidR="001156B7">
        <w:rPr>
          <w:sz w:val="24"/>
          <w:szCs w:val="24"/>
          <w:lang w:val="en-GB"/>
        </w:rPr>
        <w:t>help to</w:t>
      </w:r>
      <w:r w:rsidR="00104CE2" w:rsidRPr="00D9232D">
        <w:rPr>
          <w:sz w:val="24"/>
          <w:szCs w:val="24"/>
          <w:lang w:val="en-GB"/>
        </w:rPr>
        <w:t xml:space="preserve"> explain the lower prevalence </w:t>
      </w:r>
      <w:r w:rsidRPr="00D9232D">
        <w:rPr>
          <w:sz w:val="24"/>
          <w:szCs w:val="24"/>
          <w:lang w:val="en-GB"/>
        </w:rPr>
        <w:t xml:space="preserve">found for heavy </w:t>
      </w:r>
      <w:r w:rsidR="00D9232D">
        <w:rPr>
          <w:sz w:val="24"/>
          <w:szCs w:val="24"/>
          <w:lang w:val="en-GB"/>
        </w:rPr>
        <w:t>Internet</w:t>
      </w:r>
      <w:r w:rsidRPr="00D9232D">
        <w:rPr>
          <w:sz w:val="24"/>
          <w:szCs w:val="24"/>
          <w:lang w:val="en-GB"/>
        </w:rPr>
        <w:t xml:space="preserve"> </w:t>
      </w:r>
      <w:r w:rsidR="005525D5">
        <w:rPr>
          <w:sz w:val="24"/>
          <w:szCs w:val="24"/>
          <w:lang w:val="en-GB"/>
        </w:rPr>
        <w:t xml:space="preserve">use </w:t>
      </w:r>
      <w:r w:rsidRPr="00D9232D">
        <w:rPr>
          <w:sz w:val="24"/>
          <w:szCs w:val="24"/>
          <w:lang w:val="en-GB"/>
        </w:rPr>
        <w:t>during school time</w:t>
      </w:r>
      <w:r w:rsidR="001156B7">
        <w:rPr>
          <w:sz w:val="24"/>
          <w:szCs w:val="24"/>
          <w:lang w:val="en-GB"/>
        </w:rPr>
        <w:t>, as</w:t>
      </w:r>
      <w:r w:rsidR="00064DDF" w:rsidRPr="00D9232D">
        <w:rPr>
          <w:sz w:val="24"/>
          <w:szCs w:val="24"/>
          <w:lang w:val="en-GB"/>
        </w:rPr>
        <w:t xml:space="preserve"> s</w:t>
      </w:r>
      <w:r w:rsidRPr="00D9232D">
        <w:rPr>
          <w:sz w:val="24"/>
          <w:szCs w:val="24"/>
          <w:lang w:val="en-GB"/>
        </w:rPr>
        <w:t>chools are usually supervised environments</w:t>
      </w:r>
      <w:r w:rsidR="00064DDF" w:rsidRPr="00D9232D">
        <w:rPr>
          <w:sz w:val="24"/>
          <w:szCs w:val="24"/>
          <w:lang w:val="en-GB"/>
        </w:rPr>
        <w:t xml:space="preserve"> which </w:t>
      </w:r>
      <w:r w:rsidRPr="00D9232D">
        <w:rPr>
          <w:sz w:val="24"/>
          <w:szCs w:val="24"/>
          <w:lang w:val="en-GB"/>
        </w:rPr>
        <w:t xml:space="preserve">could persuade adolescents </w:t>
      </w:r>
      <w:r w:rsidR="001156B7">
        <w:rPr>
          <w:sz w:val="24"/>
          <w:szCs w:val="24"/>
          <w:lang w:val="en-GB"/>
        </w:rPr>
        <w:t>away from</w:t>
      </w:r>
      <w:r w:rsidR="001156B7" w:rsidRPr="00D9232D">
        <w:rPr>
          <w:sz w:val="24"/>
          <w:szCs w:val="24"/>
          <w:lang w:val="en-GB"/>
        </w:rPr>
        <w:t xml:space="preserve"> </w:t>
      </w:r>
      <w:r w:rsidRPr="00D9232D">
        <w:rPr>
          <w:sz w:val="24"/>
          <w:szCs w:val="24"/>
          <w:lang w:val="en-GB"/>
        </w:rPr>
        <w:t xml:space="preserve">an indiscriminate use of the </w:t>
      </w:r>
      <w:r w:rsidR="00D9232D">
        <w:rPr>
          <w:sz w:val="24"/>
          <w:szCs w:val="24"/>
          <w:lang w:val="en-GB"/>
        </w:rPr>
        <w:t>Internet</w:t>
      </w:r>
      <w:r w:rsidRPr="00D9232D">
        <w:rPr>
          <w:sz w:val="24"/>
          <w:szCs w:val="24"/>
          <w:lang w:val="en-GB"/>
        </w:rPr>
        <w:t xml:space="preserve">. </w:t>
      </w:r>
      <w:bookmarkStart w:id="22" w:name="_Hlk76925485"/>
      <w:r w:rsidRPr="00D9232D">
        <w:rPr>
          <w:sz w:val="24"/>
          <w:szCs w:val="24"/>
          <w:lang w:val="en-GB"/>
        </w:rPr>
        <w:t xml:space="preserve">Furthermore, because </w:t>
      </w:r>
      <w:r w:rsidR="00C62876" w:rsidRPr="00D9232D">
        <w:rPr>
          <w:sz w:val="24"/>
          <w:szCs w:val="24"/>
          <w:lang w:val="en-GB"/>
        </w:rPr>
        <w:t xml:space="preserve">parental control has been observed to vary among countries, this could partly explain geographical differences </w:t>
      </w:r>
      <w:r w:rsidR="00C62876" w:rsidRPr="00D9232D">
        <w:rPr>
          <w:sz w:val="24"/>
          <w:szCs w:val="24"/>
          <w:lang w:val="en-GB"/>
        </w:rPr>
        <w:lastRenderedPageBreak/>
        <w:t xml:space="preserve">found in the present study. </w:t>
      </w:r>
      <w:r w:rsidR="005525D5">
        <w:rPr>
          <w:sz w:val="24"/>
          <w:szCs w:val="24"/>
          <w:lang w:val="en-GB"/>
        </w:rPr>
        <w:t>In p</w:t>
      </w:r>
      <w:r w:rsidR="00064DDF" w:rsidRPr="00D9232D">
        <w:rPr>
          <w:sz w:val="24"/>
          <w:szCs w:val="24"/>
          <w:lang w:val="en-GB"/>
        </w:rPr>
        <w:t xml:space="preserve">articular, </w:t>
      </w:r>
      <w:r w:rsidR="00B22278" w:rsidRPr="00D9232D">
        <w:rPr>
          <w:sz w:val="24"/>
          <w:szCs w:val="24"/>
          <w:lang w:val="en-GB"/>
        </w:rPr>
        <w:t xml:space="preserve">parental control has been observed </w:t>
      </w:r>
      <w:r w:rsidR="005525D5">
        <w:rPr>
          <w:sz w:val="24"/>
          <w:szCs w:val="24"/>
          <w:lang w:val="en-GB"/>
        </w:rPr>
        <w:t xml:space="preserve">to be </w:t>
      </w:r>
      <w:r w:rsidR="00B22278" w:rsidRPr="00D9232D">
        <w:rPr>
          <w:sz w:val="24"/>
          <w:szCs w:val="24"/>
          <w:lang w:val="en-GB"/>
        </w:rPr>
        <w:t xml:space="preserve">higher in </w:t>
      </w:r>
      <w:r w:rsidR="0012617D" w:rsidRPr="00D9232D">
        <w:rPr>
          <w:sz w:val="24"/>
          <w:szCs w:val="24"/>
          <w:lang w:val="en-GB"/>
        </w:rPr>
        <w:t>E</w:t>
      </w:r>
      <w:r w:rsidR="00B22278" w:rsidRPr="00D9232D">
        <w:rPr>
          <w:sz w:val="24"/>
          <w:szCs w:val="24"/>
          <w:lang w:val="en-GB"/>
        </w:rPr>
        <w:t xml:space="preserve">astern than </w:t>
      </w:r>
      <w:r w:rsidR="0012617D" w:rsidRPr="00D9232D">
        <w:rPr>
          <w:sz w:val="24"/>
          <w:szCs w:val="24"/>
          <w:lang w:val="en-GB"/>
        </w:rPr>
        <w:t>W</w:t>
      </w:r>
      <w:r w:rsidR="00B22278" w:rsidRPr="00D9232D">
        <w:rPr>
          <w:sz w:val="24"/>
          <w:szCs w:val="24"/>
          <w:lang w:val="en-GB"/>
        </w:rPr>
        <w:t>estern countries</w:t>
      </w:r>
      <w:r w:rsidR="00E9107F">
        <w:rPr>
          <w:sz w:val="24"/>
          <w:szCs w:val="24"/>
          <w:lang w:val="en-GB"/>
        </w:rPr>
        <w:t xml:space="preserve"> </w:t>
      </w:r>
      <w:r w:rsidR="001156B7">
        <w:rPr>
          <w:sz w:val="24"/>
          <w:szCs w:val="24"/>
          <w:lang w:val="en-GB"/>
        </w:rPr>
        <w:fldChar w:fldCharType="begin" w:fldLock="1"/>
      </w:r>
      <w:r w:rsidR="00E9107F">
        <w:rPr>
          <w:sz w:val="24"/>
          <w:szCs w:val="24"/>
          <w:lang w:val="en-GB"/>
        </w:rPr>
        <w:instrText>ADDIN CSL_CITATION {"citationItems":[{"id":"ITEM-1","itemData":{"DOI":"10.1007/s10826-009-9334-2","ISSN":"10621024","abstract":"Parental control is among the important factors influencing the psychological development of children. In addition to other questionnaires, a questionnaire of father and mother control was administered to adolescents in nine countries. The results showed that parental control differs across cultures. Parental control was higher in the eastern than western countries. Mothers, particularly in the west, are more controlling than fathers. Fathers' rather than mothers' control was associated with adolescents' psychological disorders in the west, but not in the east. Inconsistent parental control was associated with psychological disorders. © 2009 Springer Science+Business Media, LLC.","author":[{"dropping-particle":"","family":"Dwairy","given":"Marwan","non-dropping-particle":"","parse-names":false,"suffix":""},{"dropping-particle":"","family":"Achoui","given":"Mustafa","non-dropping-particle":"","parse-names":false,"suffix":""}],"container-title":"Journal of Child and Family Studies","id":"ITEM-1","issue":"1","issued":{"date-parts":[["2010"]]},"page":"16-22","title":"Parental control: A second cross-cultural research on parenting and psychological adjustment of children","type":"article-journal","volume":"19"},"uris":["http://www.mendeley.com/documents/?uuid=24cc1c43-c0b7-4fc7-a6b5-e5a1594aa920"]}],"mendeley":{"formattedCitation":"[19]","plainTextFormattedCitation":"[19]","previouslyFormattedCitation":"[19]"},"properties":{"noteIndex":0},"schema":"https://github.com/citation-style-language/schema/raw/master/csl-citation.json"}</w:instrText>
      </w:r>
      <w:r w:rsidR="001156B7">
        <w:rPr>
          <w:sz w:val="24"/>
          <w:szCs w:val="24"/>
          <w:lang w:val="en-GB"/>
        </w:rPr>
        <w:fldChar w:fldCharType="separate"/>
      </w:r>
      <w:r w:rsidR="00E9107F" w:rsidRPr="00E9107F">
        <w:rPr>
          <w:noProof/>
          <w:sz w:val="24"/>
          <w:szCs w:val="24"/>
          <w:lang w:val="en-GB"/>
        </w:rPr>
        <w:t>[19]</w:t>
      </w:r>
      <w:r w:rsidR="001156B7">
        <w:rPr>
          <w:sz w:val="24"/>
          <w:szCs w:val="24"/>
          <w:lang w:val="en-GB"/>
        </w:rPr>
        <w:fldChar w:fldCharType="end"/>
      </w:r>
      <w:r w:rsidR="00B22278" w:rsidRPr="00D9232D">
        <w:rPr>
          <w:sz w:val="24"/>
          <w:szCs w:val="24"/>
          <w:lang w:val="en-GB"/>
        </w:rPr>
        <w:t xml:space="preserve"> which </w:t>
      </w:r>
      <w:r w:rsidR="00AA15AB" w:rsidRPr="00D9232D">
        <w:rPr>
          <w:sz w:val="24"/>
          <w:szCs w:val="24"/>
          <w:lang w:val="en-GB"/>
        </w:rPr>
        <w:t xml:space="preserve">is consistent with the </w:t>
      </w:r>
      <w:r w:rsidR="00A452CD" w:rsidRPr="00D9232D">
        <w:rPr>
          <w:sz w:val="24"/>
          <w:szCs w:val="24"/>
          <w:lang w:val="en-GB"/>
        </w:rPr>
        <w:t>higher</w:t>
      </w:r>
      <w:r w:rsidR="00AA15AB" w:rsidRPr="00D9232D">
        <w:rPr>
          <w:sz w:val="24"/>
          <w:szCs w:val="24"/>
          <w:lang w:val="en-GB"/>
        </w:rPr>
        <w:t xml:space="preserve"> prevalence of heavy </w:t>
      </w:r>
      <w:r w:rsidR="00D9232D">
        <w:rPr>
          <w:sz w:val="24"/>
          <w:szCs w:val="24"/>
          <w:lang w:val="en-GB"/>
        </w:rPr>
        <w:t>Internet</w:t>
      </w:r>
      <w:r w:rsidR="00AA15AB" w:rsidRPr="00D9232D">
        <w:rPr>
          <w:sz w:val="24"/>
          <w:szCs w:val="24"/>
          <w:lang w:val="en-GB"/>
        </w:rPr>
        <w:t xml:space="preserve"> </w:t>
      </w:r>
      <w:r w:rsidR="005525D5">
        <w:rPr>
          <w:sz w:val="24"/>
          <w:szCs w:val="24"/>
          <w:lang w:val="en-GB"/>
        </w:rPr>
        <w:t xml:space="preserve">use </w:t>
      </w:r>
      <w:r w:rsidR="00AA15AB" w:rsidRPr="00D9232D">
        <w:rPr>
          <w:sz w:val="24"/>
          <w:szCs w:val="24"/>
          <w:lang w:val="en-GB"/>
        </w:rPr>
        <w:t>during week</w:t>
      </w:r>
      <w:r w:rsidR="00C4781C">
        <w:rPr>
          <w:sz w:val="24"/>
          <w:szCs w:val="24"/>
          <w:lang w:val="en-GB"/>
        </w:rPr>
        <w:t>end</w:t>
      </w:r>
      <w:r w:rsidR="00AA15AB" w:rsidRPr="00D9232D">
        <w:rPr>
          <w:sz w:val="24"/>
          <w:szCs w:val="24"/>
          <w:lang w:val="en-GB"/>
        </w:rPr>
        <w:t xml:space="preserve"> </w:t>
      </w:r>
      <w:r w:rsidR="00A452CD" w:rsidRPr="00D9232D">
        <w:rPr>
          <w:sz w:val="24"/>
          <w:szCs w:val="24"/>
          <w:lang w:val="en-GB"/>
        </w:rPr>
        <w:t xml:space="preserve">and weekdays </w:t>
      </w:r>
      <w:r w:rsidR="003A6A17" w:rsidRPr="00D9232D">
        <w:rPr>
          <w:sz w:val="24"/>
          <w:szCs w:val="24"/>
          <w:lang w:val="en-GB"/>
        </w:rPr>
        <w:t xml:space="preserve">we </w:t>
      </w:r>
      <w:r w:rsidR="00AA15AB" w:rsidRPr="00D9232D">
        <w:rPr>
          <w:sz w:val="24"/>
          <w:szCs w:val="24"/>
          <w:lang w:val="en-GB"/>
        </w:rPr>
        <w:t xml:space="preserve">found for </w:t>
      </w:r>
      <w:r w:rsidR="00A452CD" w:rsidRPr="00D9232D">
        <w:rPr>
          <w:sz w:val="24"/>
          <w:szCs w:val="24"/>
          <w:lang w:val="en-GB"/>
        </w:rPr>
        <w:t>America A and Europe A geographical areas.</w:t>
      </w:r>
      <w:r w:rsidR="00AA15AB" w:rsidRPr="00D9232D">
        <w:rPr>
          <w:sz w:val="24"/>
          <w:szCs w:val="24"/>
          <w:lang w:val="en-GB"/>
        </w:rPr>
        <w:t xml:space="preserve"> </w:t>
      </w:r>
      <w:r w:rsidR="003A6A17" w:rsidRPr="00D9232D">
        <w:rPr>
          <w:sz w:val="24"/>
          <w:szCs w:val="24"/>
          <w:lang w:val="en-GB"/>
        </w:rPr>
        <w:t xml:space="preserve">Moreover, since parental awareness regarding </w:t>
      </w:r>
      <w:r w:rsidR="00D9232D">
        <w:rPr>
          <w:sz w:val="24"/>
          <w:szCs w:val="24"/>
          <w:lang w:val="en-GB"/>
        </w:rPr>
        <w:t>Internet</w:t>
      </w:r>
      <w:r w:rsidR="003A6A17" w:rsidRPr="00D9232D">
        <w:rPr>
          <w:sz w:val="24"/>
          <w:szCs w:val="24"/>
          <w:lang w:val="en-GB"/>
        </w:rPr>
        <w:t xml:space="preserve"> use of adolescents has been found higher in mothers than fathers,</w:t>
      </w:r>
      <w:r w:rsidR="00CF63D0">
        <w:rPr>
          <w:sz w:val="24"/>
          <w:szCs w:val="24"/>
          <w:lang w:val="en-GB"/>
        </w:rPr>
        <w:fldChar w:fldCharType="begin" w:fldLock="1"/>
      </w:r>
      <w:r w:rsidR="00E9107F">
        <w:rPr>
          <w:sz w:val="24"/>
          <w:szCs w:val="24"/>
          <w:lang w:val="en-GB"/>
        </w:rPr>
        <w:instrText>ADDIN CSL_CITATION {"citationItems":[{"id":"ITEM-1","itemData":{"DOI":"10.1007/s12144-008-9038-6","ISBN":"1214400890386","ISSN":"10461310","abstract":"This study focused on four aspects of parental monitoring of Internet use by their children: parental supervision, communication and tracking, and adolescent disclosure. Data were obtained from a SAFT (Safety Awareness for Teens Project) national survey of Singapore youths and parents regarding Internet safety at home. Study 1 examined 1,124 adolescents and 1,002 parents; Study 2 examined a subsample of 169 dyads of adolescents and their parents. Frequency of use and engagement in risky Internet behaviors such as visiting inappropriate websites were analysed. The results indicated that parents tend to underestimate adolescents' engagement in risky Internet behaviors and overestimate the amount of parental monitoring regarding Internet safety that occurs at home. The study suggested that mothers have a better awareness of their adolescents' Internet use than fathers. The findings were explained in the context of parental monitoring. The results suggest that parental monitoring needs to be reconceptualized and that parents need to improve the communication with their adolescents regarding Internet use. © 2008 Springer Science+Business Media, LLC.","author":[{"dropping-particle":"","family":"Liau","given":"Albert Kienfie","non-dropping-particle":"","parse-names":false,"suffix":""},{"dropping-particle":"","family":"Khoo","given":"Angeline","non-dropping-particle":"","parse-names":false,"suffix":""},{"dropping-particle":"","family":"Ang","given":"Peng Hwa","non-dropping-particle":"","parse-names":false,"suffix":""}],"container-title":"Current Psychology","id":"ITEM-1","issue":"4","issued":{"date-parts":[["2008"]]},"page":"217-233","title":"Parental awareness and monitoring of adolescent Internet use","type":"article-journal","volume":"27"},"uris":["http://www.mendeley.com/documents/?uuid=e67c7fd7-55e7-4719-853d-a4954b9db014"]}],"mendeley":{"formattedCitation":"[20]","plainTextFormattedCitation":"[20]","previouslyFormattedCitation":"[20]"},"properties":{"noteIndex":0},"schema":"https://github.com/citation-style-language/schema/raw/master/csl-citation.json"}</w:instrText>
      </w:r>
      <w:r w:rsidR="00CF63D0">
        <w:rPr>
          <w:sz w:val="24"/>
          <w:szCs w:val="24"/>
          <w:lang w:val="en-GB"/>
        </w:rPr>
        <w:fldChar w:fldCharType="separate"/>
      </w:r>
      <w:r w:rsidR="004E289D" w:rsidRPr="004E289D">
        <w:rPr>
          <w:noProof/>
          <w:sz w:val="24"/>
          <w:szCs w:val="24"/>
          <w:lang w:val="en-GB"/>
        </w:rPr>
        <w:t>[20]</w:t>
      </w:r>
      <w:r w:rsidR="00CF63D0">
        <w:rPr>
          <w:sz w:val="24"/>
          <w:szCs w:val="24"/>
          <w:lang w:val="en-GB"/>
        </w:rPr>
        <w:fldChar w:fldCharType="end"/>
      </w:r>
      <w:r w:rsidR="003A6A17" w:rsidRPr="00D9232D">
        <w:rPr>
          <w:sz w:val="24"/>
          <w:szCs w:val="24"/>
          <w:lang w:val="en-GB"/>
        </w:rPr>
        <w:t xml:space="preserve"> it is plausible tha</w:t>
      </w:r>
      <w:r w:rsidR="005525D5">
        <w:rPr>
          <w:sz w:val="24"/>
          <w:szCs w:val="24"/>
          <w:lang w:val="en-GB"/>
        </w:rPr>
        <w:t>t</w:t>
      </w:r>
      <w:r w:rsidR="003A6A17" w:rsidRPr="00D9232D">
        <w:rPr>
          <w:sz w:val="24"/>
          <w:szCs w:val="24"/>
          <w:lang w:val="en-GB"/>
        </w:rPr>
        <w:t xml:space="preserve"> those countries </w:t>
      </w:r>
      <w:r w:rsidR="0012617D" w:rsidRPr="00D9232D">
        <w:rPr>
          <w:sz w:val="24"/>
          <w:szCs w:val="24"/>
          <w:lang w:val="en-GB"/>
        </w:rPr>
        <w:t xml:space="preserve">with </w:t>
      </w:r>
      <w:r w:rsidR="00283F2D" w:rsidRPr="00D9232D">
        <w:rPr>
          <w:sz w:val="24"/>
          <w:szCs w:val="24"/>
          <w:lang w:val="en-GB"/>
        </w:rPr>
        <w:t>higher prevalence of mothers</w:t>
      </w:r>
      <w:r w:rsidR="0012617D" w:rsidRPr="00D9232D">
        <w:rPr>
          <w:sz w:val="24"/>
          <w:szCs w:val="24"/>
          <w:lang w:val="en-GB"/>
        </w:rPr>
        <w:t xml:space="preserve"> involved in </w:t>
      </w:r>
      <w:r w:rsidR="00283F2D" w:rsidRPr="00D9232D">
        <w:rPr>
          <w:sz w:val="24"/>
          <w:szCs w:val="24"/>
          <w:lang w:val="en-GB"/>
        </w:rPr>
        <w:t>parental control</w:t>
      </w:r>
      <w:r w:rsidR="0012617D" w:rsidRPr="00D9232D">
        <w:rPr>
          <w:sz w:val="24"/>
          <w:szCs w:val="24"/>
          <w:lang w:val="en-GB"/>
        </w:rPr>
        <w:t xml:space="preserve"> of children present lower heavy use of the </w:t>
      </w:r>
      <w:r w:rsidR="00D9232D">
        <w:rPr>
          <w:sz w:val="24"/>
          <w:szCs w:val="24"/>
          <w:lang w:val="en-GB"/>
        </w:rPr>
        <w:t>Internet</w:t>
      </w:r>
      <w:r w:rsidR="0012617D" w:rsidRPr="00D9232D">
        <w:rPr>
          <w:sz w:val="24"/>
          <w:szCs w:val="24"/>
          <w:lang w:val="en-GB"/>
        </w:rPr>
        <w:t xml:space="preserve"> in adolescents.</w:t>
      </w:r>
      <w:r w:rsidR="0045099C" w:rsidRPr="00D9232D">
        <w:rPr>
          <w:sz w:val="24"/>
          <w:szCs w:val="24"/>
          <w:lang w:val="en-GB"/>
        </w:rPr>
        <w:t xml:space="preserve"> </w:t>
      </w:r>
      <w:r w:rsidR="007820CF" w:rsidRPr="00D9232D">
        <w:rPr>
          <w:sz w:val="24"/>
          <w:szCs w:val="24"/>
          <w:lang w:val="en-GB"/>
        </w:rPr>
        <w:t xml:space="preserve"> </w:t>
      </w:r>
      <w:bookmarkEnd w:id="22"/>
    </w:p>
    <w:p w14:paraId="01013E17" w14:textId="6DCEC20E" w:rsidR="00064DDF" w:rsidRPr="00D9232D" w:rsidRDefault="00064DDF" w:rsidP="004E289D">
      <w:pPr>
        <w:spacing w:line="480" w:lineRule="auto"/>
        <w:rPr>
          <w:sz w:val="24"/>
          <w:szCs w:val="24"/>
          <w:lang w:val="en-GB"/>
        </w:rPr>
      </w:pPr>
      <w:r w:rsidRPr="00D9232D">
        <w:rPr>
          <w:sz w:val="24"/>
          <w:szCs w:val="24"/>
          <w:lang w:val="en-GB"/>
        </w:rPr>
        <w:t>In</w:t>
      </w:r>
      <w:r w:rsidR="00486539" w:rsidRPr="00D9232D">
        <w:rPr>
          <w:sz w:val="24"/>
          <w:szCs w:val="24"/>
          <w:lang w:val="en-GB"/>
        </w:rPr>
        <w:t xml:space="preserve"> addition</w:t>
      </w:r>
      <w:r w:rsidR="0045099C" w:rsidRPr="00D9232D">
        <w:rPr>
          <w:sz w:val="24"/>
          <w:szCs w:val="24"/>
          <w:lang w:val="en-GB"/>
        </w:rPr>
        <w:t xml:space="preserve">, the use of </w:t>
      </w:r>
      <w:r w:rsidR="00D9232D">
        <w:rPr>
          <w:sz w:val="24"/>
          <w:szCs w:val="24"/>
          <w:lang w:val="en-GB"/>
        </w:rPr>
        <w:t>Internet</w:t>
      </w:r>
      <w:r w:rsidR="0045099C" w:rsidRPr="00D9232D">
        <w:rPr>
          <w:sz w:val="24"/>
          <w:szCs w:val="24"/>
          <w:lang w:val="en-GB"/>
        </w:rPr>
        <w:t xml:space="preserve"> for educational purposes </w:t>
      </w:r>
      <w:r w:rsidR="00486539" w:rsidRPr="00D9232D">
        <w:rPr>
          <w:sz w:val="24"/>
          <w:szCs w:val="24"/>
          <w:lang w:val="en-GB"/>
        </w:rPr>
        <w:t xml:space="preserve">(i.e., assignments requiring the use of </w:t>
      </w:r>
      <w:r w:rsidR="00D9232D">
        <w:rPr>
          <w:sz w:val="24"/>
          <w:szCs w:val="24"/>
          <w:lang w:val="en-GB"/>
        </w:rPr>
        <w:t>Internet</w:t>
      </w:r>
      <w:r w:rsidR="00911CEC" w:rsidRPr="00D9232D">
        <w:rPr>
          <w:sz w:val="24"/>
          <w:szCs w:val="24"/>
          <w:lang w:val="en-GB"/>
        </w:rPr>
        <w:t>)</w:t>
      </w:r>
      <w:r w:rsidR="00486539" w:rsidRPr="00D9232D">
        <w:rPr>
          <w:sz w:val="24"/>
          <w:szCs w:val="24"/>
          <w:lang w:val="en-GB"/>
        </w:rPr>
        <w:t xml:space="preserve"> has been previously observed to increase </w:t>
      </w:r>
      <w:r w:rsidR="00911CEC" w:rsidRPr="00D9232D">
        <w:rPr>
          <w:sz w:val="24"/>
          <w:szCs w:val="24"/>
          <w:lang w:val="en-GB"/>
        </w:rPr>
        <w:t xml:space="preserve">overall </w:t>
      </w:r>
      <w:r w:rsidR="00D9232D">
        <w:rPr>
          <w:sz w:val="24"/>
          <w:szCs w:val="24"/>
          <w:lang w:val="en-GB"/>
        </w:rPr>
        <w:t>Internet</w:t>
      </w:r>
      <w:r w:rsidR="00486539" w:rsidRPr="00D9232D">
        <w:rPr>
          <w:sz w:val="24"/>
          <w:szCs w:val="24"/>
          <w:lang w:val="en-GB"/>
        </w:rPr>
        <w:t xml:space="preserve"> use</w:t>
      </w:r>
      <w:r w:rsidR="00911CEC" w:rsidRPr="00D9232D">
        <w:rPr>
          <w:sz w:val="24"/>
          <w:szCs w:val="24"/>
          <w:lang w:val="en-GB"/>
        </w:rPr>
        <w:t xml:space="preserve"> in high-school students</w:t>
      </w:r>
      <w:r w:rsidR="001156B7">
        <w:rPr>
          <w:sz w:val="24"/>
          <w:szCs w:val="24"/>
          <w:lang w:val="en-GB"/>
        </w:rPr>
        <w:t xml:space="preserve">. Therefore, </w:t>
      </w:r>
      <w:r w:rsidR="00486539" w:rsidRPr="00D9232D">
        <w:rPr>
          <w:sz w:val="24"/>
          <w:szCs w:val="24"/>
          <w:lang w:val="en-GB"/>
        </w:rPr>
        <w:t xml:space="preserve">countries </w:t>
      </w:r>
      <w:r w:rsidR="00911CEC" w:rsidRPr="00D9232D">
        <w:rPr>
          <w:sz w:val="24"/>
          <w:szCs w:val="24"/>
          <w:lang w:val="en-GB"/>
        </w:rPr>
        <w:t xml:space="preserve">with educational systems tending to higher number of assignments requiring the use of </w:t>
      </w:r>
      <w:r w:rsidR="00D9232D">
        <w:rPr>
          <w:sz w:val="24"/>
          <w:szCs w:val="24"/>
          <w:lang w:val="en-GB"/>
        </w:rPr>
        <w:t>Internet</w:t>
      </w:r>
      <w:r w:rsidR="000004C2" w:rsidRPr="00D9232D">
        <w:rPr>
          <w:sz w:val="24"/>
          <w:szCs w:val="24"/>
          <w:lang w:val="en-GB"/>
        </w:rPr>
        <w:t xml:space="preserve"> </w:t>
      </w:r>
      <w:r w:rsidR="004A602E">
        <w:rPr>
          <w:sz w:val="24"/>
          <w:szCs w:val="24"/>
          <w:lang w:val="en-GB"/>
        </w:rPr>
        <w:t>may be</w:t>
      </w:r>
      <w:r w:rsidR="00911CEC" w:rsidRPr="00D9232D">
        <w:rPr>
          <w:sz w:val="24"/>
          <w:szCs w:val="24"/>
          <w:lang w:val="en-GB"/>
        </w:rPr>
        <w:t xml:space="preserve"> more likely to have higher prevalence of heavy </w:t>
      </w:r>
      <w:r w:rsidR="00D9232D">
        <w:rPr>
          <w:sz w:val="24"/>
          <w:szCs w:val="24"/>
          <w:lang w:val="en-GB"/>
        </w:rPr>
        <w:t>Internet</w:t>
      </w:r>
      <w:r w:rsidR="00911CEC" w:rsidRPr="00D9232D">
        <w:rPr>
          <w:sz w:val="24"/>
          <w:szCs w:val="24"/>
          <w:lang w:val="en-GB"/>
        </w:rPr>
        <w:t xml:space="preserve"> </w:t>
      </w:r>
      <w:r w:rsidR="00240326">
        <w:rPr>
          <w:sz w:val="24"/>
          <w:szCs w:val="24"/>
          <w:lang w:val="en-GB"/>
        </w:rPr>
        <w:t xml:space="preserve">use </w:t>
      </w:r>
      <w:r w:rsidR="00911CEC" w:rsidRPr="00D9232D">
        <w:rPr>
          <w:sz w:val="24"/>
          <w:szCs w:val="24"/>
          <w:lang w:val="en-GB"/>
        </w:rPr>
        <w:t>among their adolescent</w:t>
      </w:r>
      <w:r w:rsidR="000F49E5" w:rsidRPr="00D9232D">
        <w:rPr>
          <w:sz w:val="24"/>
          <w:szCs w:val="24"/>
          <w:lang w:val="en-GB"/>
        </w:rPr>
        <w:t>-schooled population</w:t>
      </w:r>
      <w:r w:rsidR="00E9107F">
        <w:rPr>
          <w:sz w:val="24"/>
          <w:szCs w:val="24"/>
          <w:lang w:val="en-GB"/>
        </w:rPr>
        <w:t xml:space="preserve"> </w:t>
      </w:r>
      <w:r w:rsidR="00911CEC" w:rsidRPr="00D9232D">
        <w:rPr>
          <w:sz w:val="24"/>
          <w:szCs w:val="24"/>
          <w:lang w:val="en-GB"/>
        </w:rPr>
        <w:fldChar w:fldCharType="begin" w:fldLock="1"/>
      </w:r>
      <w:r w:rsidR="00E9107F">
        <w:rPr>
          <w:sz w:val="24"/>
          <w:szCs w:val="24"/>
          <w:lang w:val="en-GB"/>
        </w:rPr>
        <w:instrText>ADDIN CSL_CITATION {"citationItems":[{"id":"ITEM-1","itemData":{"DOI":"10.1016/j.sbspro.2010.03.296","ISSN":"18770428","abstract":"This study examines the Internet usage of high school students for educational purposes in relation to their learning approaches. In the study, 921 secondary school students were subjected, and Learning Process Questionnaire (LPQ) was used. This tool consisted of two dimension, deep learning and surface learning. According to the data obtained, surface learners use the Internet more when compared to deep learners, though they use it for non-instructional purposes. The ratios of the Internet use of deep learners for educational purposes are higher when compared to those of surface learners. Ratios of the Internet use for educational purposes by the students who are given assignments requiring the use of the Internet are higher. © 2010 Elsevier Ltd. All rights reserved.","author":[{"dropping-particle":"","family":"Yilmaz","given":"M. Betül","non-dropping-particle":"","parse-names":false,"suffix":""},{"dropping-particle":"","family":"Orhan","given":"Feza","non-dropping-particle":"","parse-names":false,"suffix":""}],"container-title":"Procedia - Social and Behavioral Sciences","id":"ITEM-1","issue":"2","issued":{"date-parts":[["2010"]]},"page":"2143-2150","publisher":"Elsevier Ltd","title":"The use of Internet by high school students for educational purposes in respect to their learning approaches","type":"article-journal","volume":"2"},"uris":["http://www.mendeley.com/documents/?uuid=6025d5af-0be8-4d85-8d87-66fec1d5b13a"]}],"mendeley":{"formattedCitation":"[21]","plainTextFormattedCitation":"[21]","previouslyFormattedCitation":"[21]"},"properties":{"noteIndex":0},"schema":"https://github.com/citation-style-language/schema/raw/master/csl-citation.json"}</w:instrText>
      </w:r>
      <w:r w:rsidR="00911CEC" w:rsidRPr="00D9232D">
        <w:rPr>
          <w:sz w:val="24"/>
          <w:szCs w:val="24"/>
          <w:lang w:val="en-GB"/>
        </w:rPr>
        <w:fldChar w:fldCharType="separate"/>
      </w:r>
      <w:r w:rsidR="004E289D" w:rsidRPr="004E289D">
        <w:rPr>
          <w:noProof/>
          <w:sz w:val="24"/>
          <w:szCs w:val="24"/>
          <w:lang w:val="en-GB"/>
        </w:rPr>
        <w:t>[21]</w:t>
      </w:r>
      <w:r w:rsidR="00911CEC" w:rsidRPr="00D9232D">
        <w:rPr>
          <w:sz w:val="24"/>
          <w:szCs w:val="24"/>
          <w:lang w:val="en-GB"/>
        </w:rPr>
        <w:fldChar w:fldCharType="end"/>
      </w:r>
      <w:r w:rsidR="00E9107F">
        <w:rPr>
          <w:sz w:val="24"/>
          <w:szCs w:val="24"/>
          <w:lang w:val="en-GB"/>
        </w:rPr>
        <w:t>.</w:t>
      </w:r>
      <w:r w:rsidR="000F49E5" w:rsidRPr="00D9232D">
        <w:rPr>
          <w:sz w:val="24"/>
          <w:szCs w:val="24"/>
          <w:lang w:val="en-GB"/>
        </w:rPr>
        <w:t xml:space="preserve"> </w:t>
      </w:r>
      <w:r w:rsidR="00F27DC2" w:rsidRPr="00D9232D">
        <w:rPr>
          <w:sz w:val="24"/>
          <w:szCs w:val="24"/>
          <w:lang w:val="en-GB"/>
        </w:rPr>
        <w:t>In view of this</w:t>
      </w:r>
      <w:r w:rsidR="000004C2" w:rsidRPr="00D9232D">
        <w:rPr>
          <w:sz w:val="24"/>
          <w:szCs w:val="24"/>
          <w:lang w:val="en-GB"/>
        </w:rPr>
        <w:t xml:space="preserve">, it </w:t>
      </w:r>
      <w:r w:rsidR="000F5F5A" w:rsidRPr="00D9232D">
        <w:rPr>
          <w:sz w:val="24"/>
          <w:szCs w:val="24"/>
          <w:lang w:val="en-GB"/>
        </w:rPr>
        <w:t>would be</w:t>
      </w:r>
      <w:r w:rsidR="000004C2" w:rsidRPr="00D9232D">
        <w:rPr>
          <w:sz w:val="24"/>
          <w:szCs w:val="24"/>
          <w:lang w:val="en-GB"/>
        </w:rPr>
        <w:t xml:space="preserve"> plausible to consider those countries with higher accessibility to </w:t>
      </w:r>
      <w:r w:rsidR="00D9232D">
        <w:rPr>
          <w:sz w:val="24"/>
          <w:szCs w:val="24"/>
          <w:lang w:val="en-GB"/>
        </w:rPr>
        <w:t>Internet</w:t>
      </w:r>
      <w:r w:rsidR="000004C2" w:rsidRPr="00D9232D">
        <w:rPr>
          <w:sz w:val="24"/>
          <w:szCs w:val="24"/>
          <w:lang w:val="en-GB"/>
        </w:rPr>
        <w:t xml:space="preserve"> as more prone to use the </w:t>
      </w:r>
      <w:r w:rsidR="00D9232D">
        <w:rPr>
          <w:sz w:val="24"/>
          <w:szCs w:val="24"/>
          <w:lang w:val="en-GB"/>
        </w:rPr>
        <w:t>Internet</w:t>
      </w:r>
      <w:r w:rsidR="000004C2" w:rsidRPr="00D9232D">
        <w:rPr>
          <w:sz w:val="24"/>
          <w:szCs w:val="24"/>
          <w:lang w:val="en-GB"/>
        </w:rPr>
        <w:t xml:space="preserve"> in their educational schemes which, in turn, can importantly increase </w:t>
      </w:r>
      <w:r w:rsidR="004601D0" w:rsidRPr="00D9232D">
        <w:rPr>
          <w:sz w:val="24"/>
          <w:szCs w:val="24"/>
          <w:lang w:val="en-GB"/>
        </w:rPr>
        <w:t xml:space="preserve">heavy use of the </w:t>
      </w:r>
      <w:r w:rsidR="00D9232D">
        <w:rPr>
          <w:sz w:val="24"/>
          <w:szCs w:val="24"/>
          <w:lang w:val="en-GB"/>
        </w:rPr>
        <w:t>Internet</w:t>
      </w:r>
      <w:r w:rsidR="004601D0" w:rsidRPr="00D9232D">
        <w:rPr>
          <w:sz w:val="24"/>
          <w:szCs w:val="24"/>
          <w:lang w:val="en-GB"/>
        </w:rPr>
        <w:t xml:space="preserve"> among adolescents. This argument is coherent with the high prevalence of heavy </w:t>
      </w:r>
      <w:r w:rsidR="00D9232D">
        <w:rPr>
          <w:sz w:val="24"/>
          <w:szCs w:val="24"/>
          <w:lang w:val="en-GB"/>
        </w:rPr>
        <w:t>Internet</w:t>
      </w:r>
      <w:r w:rsidR="004601D0" w:rsidRPr="00D9232D">
        <w:rPr>
          <w:sz w:val="24"/>
          <w:szCs w:val="24"/>
          <w:lang w:val="en-GB"/>
        </w:rPr>
        <w:t xml:space="preserve"> </w:t>
      </w:r>
      <w:r w:rsidR="004A602E">
        <w:rPr>
          <w:sz w:val="24"/>
          <w:szCs w:val="24"/>
          <w:lang w:val="en-GB"/>
        </w:rPr>
        <w:t xml:space="preserve">use </w:t>
      </w:r>
      <w:r w:rsidR="004601D0" w:rsidRPr="00D9232D">
        <w:rPr>
          <w:sz w:val="24"/>
          <w:szCs w:val="24"/>
          <w:lang w:val="en-GB"/>
        </w:rPr>
        <w:t xml:space="preserve">of adolescents during school time </w:t>
      </w:r>
      <w:r w:rsidR="000F5F5A" w:rsidRPr="00D9232D">
        <w:rPr>
          <w:sz w:val="24"/>
          <w:szCs w:val="24"/>
          <w:lang w:val="en-GB"/>
        </w:rPr>
        <w:t xml:space="preserve">and outside school at weekends and weekdays observed </w:t>
      </w:r>
      <w:r w:rsidR="0023080D" w:rsidRPr="00D9232D">
        <w:rPr>
          <w:sz w:val="24"/>
          <w:szCs w:val="24"/>
          <w:lang w:val="en-GB"/>
        </w:rPr>
        <w:t xml:space="preserve">in this study </w:t>
      </w:r>
      <w:r w:rsidR="000F5F5A" w:rsidRPr="00D9232D">
        <w:rPr>
          <w:sz w:val="24"/>
          <w:szCs w:val="24"/>
          <w:lang w:val="en-GB"/>
        </w:rPr>
        <w:t>for</w:t>
      </w:r>
      <w:r w:rsidR="004601D0" w:rsidRPr="00D9232D">
        <w:rPr>
          <w:sz w:val="24"/>
          <w:szCs w:val="24"/>
          <w:lang w:val="en-GB"/>
        </w:rPr>
        <w:t xml:space="preserve"> </w:t>
      </w:r>
      <w:r w:rsidR="000F5F5A" w:rsidRPr="00D9232D">
        <w:rPr>
          <w:sz w:val="24"/>
          <w:szCs w:val="24"/>
          <w:lang w:val="en-GB"/>
        </w:rPr>
        <w:t xml:space="preserve">very </w:t>
      </w:r>
      <w:r w:rsidR="004601D0" w:rsidRPr="00D9232D">
        <w:rPr>
          <w:sz w:val="24"/>
          <w:szCs w:val="24"/>
          <w:lang w:val="en-GB"/>
        </w:rPr>
        <w:t xml:space="preserve">high-income countries </w:t>
      </w:r>
      <w:r w:rsidR="000F5F5A" w:rsidRPr="00D9232D">
        <w:rPr>
          <w:sz w:val="24"/>
          <w:szCs w:val="24"/>
          <w:lang w:val="en-GB"/>
        </w:rPr>
        <w:t xml:space="preserve">with </w:t>
      </w:r>
      <w:r w:rsidR="0023080D" w:rsidRPr="00D9232D">
        <w:rPr>
          <w:sz w:val="24"/>
          <w:szCs w:val="24"/>
          <w:lang w:val="en-GB"/>
        </w:rPr>
        <w:t>supposedly full</w:t>
      </w:r>
      <w:r w:rsidR="000F5F5A" w:rsidRPr="00D9232D">
        <w:rPr>
          <w:sz w:val="24"/>
          <w:szCs w:val="24"/>
          <w:lang w:val="en-GB"/>
        </w:rPr>
        <w:t xml:space="preserve"> access to the </w:t>
      </w:r>
      <w:r w:rsidR="00D9232D">
        <w:rPr>
          <w:sz w:val="24"/>
          <w:szCs w:val="24"/>
          <w:lang w:val="en-GB"/>
        </w:rPr>
        <w:t>Internet</w:t>
      </w:r>
      <w:r w:rsidR="000F5F5A" w:rsidRPr="00D9232D">
        <w:rPr>
          <w:sz w:val="24"/>
          <w:szCs w:val="24"/>
          <w:lang w:val="en-GB"/>
        </w:rPr>
        <w:t xml:space="preserve"> </w:t>
      </w:r>
      <w:r w:rsidR="004601D0" w:rsidRPr="00D9232D">
        <w:rPr>
          <w:sz w:val="24"/>
          <w:szCs w:val="24"/>
          <w:lang w:val="en-GB"/>
        </w:rPr>
        <w:t>such as Sweden or Denmark</w:t>
      </w:r>
      <w:r w:rsidR="000F5F5A" w:rsidRPr="00D9232D">
        <w:rPr>
          <w:sz w:val="24"/>
          <w:szCs w:val="24"/>
          <w:lang w:val="en-GB"/>
        </w:rPr>
        <w:t xml:space="preserve">. </w:t>
      </w:r>
      <w:r w:rsidR="007820CF" w:rsidRPr="00D9232D">
        <w:rPr>
          <w:sz w:val="24"/>
          <w:szCs w:val="24"/>
          <w:lang w:val="en-GB"/>
        </w:rPr>
        <w:t xml:space="preserve">On the other hand, </w:t>
      </w:r>
      <w:r w:rsidR="00416A0E" w:rsidRPr="00D9232D">
        <w:rPr>
          <w:sz w:val="24"/>
          <w:szCs w:val="24"/>
          <w:lang w:val="en-GB"/>
        </w:rPr>
        <w:t xml:space="preserve">the higher prevalence of heavy </w:t>
      </w:r>
      <w:r w:rsidR="00240326">
        <w:rPr>
          <w:sz w:val="24"/>
          <w:szCs w:val="24"/>
          <w:lang w:val="en-GB"/>
        </w:rPr>
        <w:t>Internet use</w:t>
      </w:r>
      <w:r w:rsidR="00416A0E" w:rsidRPr="00D9232D">
        <w:rPr>
          <w:sz w:val="24"/>
          <w:szCs w:val="24"/>
          <w:lang w:val="en-GB"/>
        </w:rPr>
        <w:t xml:space="preserve"> we found at weekends endorses the findings of previous research, which observed higher prevalence of sedentary behaviours in European adolescents usually associated with </w:t>
      </w:r>
      <w:r w:rsidR="00D9232D">
        <w:rPr>
          <w:sz w:val="24"/>
          <w:szCs w:val="24"/>
          <w:lang w:val="en-GB"/>
        </w:rPr>
        <w:t>Internet</w:t>
      </w:r>
      <w:r w:rsidR="00416A0E" w:rsidRPr="00D9232D">
        <w:rPr>
          <w:sz w:val="24"/>
          <w:szCs w:val="24"/>
          <w:lang w:val="en-GB"/>
        </w:rPr>
        <w:t xml:space="preserve"> use for not academic purposes</w:t>
      </w:r>
      <w:r w:rsidR="00E9107F">
        <w:rPr>
          <w:sz w:val="24"/>
          <w:szCs w:val="24"/>
          <w:lang w:val="en-GB"/>
        </w:rPr>
        <w:t xml:space="preserve"> </w:t>
      </w:r>
      <w:r w:rsidR="00416A0E" w:rsidRPr="00D9232D">
        <w:rPr>
          <w:sz w:val="24"/>
          <w:szCs w:val="24"/>
          <w:lang w:val="en-GB"/>
        </w:rPr>
        <w:fldChar w:fldCharType="begin" w:fldLock="1"/>
      </w:r>
      <w:r w:rsidR="00E9107F">
        <w:rPr>
          <w:sz w:val="24"/>
          <w:szCs w:val="24"/>
          <w:lang w:val="en-GB"/>
        </w:rPr>
        <w:instrText>ADDIN CSL_CITATION {"citationItems":[{"id":"ITEM-1","itemData":{"DOI":"10.1016/j.ypmed.2010.03.013","ISSN":"00917435","PMID":"20359491","abstract":"Objective: To describe sedentary behaviors in adolescents and to examine the influence of media availability on TV viewing. Method: The study assessed 3278 adolescents (1537 males and 1741 females, 12.5-17.5. years) involved in the HELENA study (2007). Adolescents reported hours of TV viewing, computer games, console, internet for study and non-study reasons, and study, as well as availability of TVs, computers and consoles. Results: Time spent in sedentary behaviors was higher during weekends (all . p&lt;0.001). Males spent more hours on TV viewing (for ≥ 15. years at weekends), playing computer games and console games while females spent more time studying and surfing for non-study reasons. During weekdays, one third of adolescents exceeded the screen time guidelines (&gt;2. h/day) based solely on TV viewing, whereas around 60% exceeded it at weekends. Having a TV or a console in the bedroom was associated with higher TV viewing (OR. =2.66; 95% CI 2.23-3.18; and OR. =1.92; 95% CI 1.61-2.28, respectively) whereas the presence of computer reduced it (OR. =0.57; 95% CI 0.48-0.68). Conclusion: Adolescents living in Europe are not meeting media recommendations, especially during weekend. The absence of a TV in the adolescents' bedroom might reduce TV viewing. Further studies are needed to confirm or contrast our findings. © 2010 Elsevier Inc.","author":[{"dropping-particle":"","family":"Rey-López","given":"Juan P.","non-dropping-particle":"","parse-names":false,"suffix":""},{"dropping-particle":"","family":"Vicente-Rodriguez","given":"Germán","non-dropping-particle":"","parse-names":false,"suffix":""},{"dropping-particle":"","family":"Ortega","given":"Francisco B.","non-dropping-particle":"","parse-names":false,"suffix":""},{"dropping-particle":"","family":"Ruiz","given":"Jonatan R.","non-dropping-particle":"","parse-names":false,"suffix":""},{"dropping-particle":"","family":"Martinez-Gómez","given":"David","non-dropping-particle":"","parse-names":false,"suffix":""},{"dropping-particle":"","family":"Henauw","given":"Stefan","non-dropping-particle":"De","parse-names":false,"suffix":""},{"dropping-particle":"","family":"Manios","given":"Yannis","non-dropping-particle":"","parse-names":false,"suffix":""},{"dropping-particle":"","family":"Molnar","given":"Denes","non-dropping-particle":"","parse-names":false,"suffix":""},{"dropping-particle":"","family":"Polito","given":"Angela","non-dropping-particle":"","parse-names":false,"suffix":""},{"dropping-particle":"","family":"Verloigne","given":"Maite","non-dropping-particle":"","parse-names":false,"suffix":""},{"dropping-particle":"","family":"Castillo","given":"Manuel J.","non-dropping-particle":"","parse-names":false,"suffix":""},{"dropping-particle":"","family":"Sjöström","given":"Michael","non-dropping-particle":"","parse-names":false,"suffix":""},{"dropping-particle":"","family":"Bourdeaudhuij","given":"Ilse","non-dropping-particle":"De","parse-names":false,"suffix":""},{"dropping-particle":"","family":"Moreno","given":"Luis A.","non-dropping-particle":"","parse-names":false,"suffix":""}],"container-title":"Preventive Medicine","id":"ITEM-1","issue":"1","issued":{"date-parts":[["2010"]]},"page":"50-55","publisher":"Elsevier Inc.","title":"Sedentary patterns and media availability in European adolescents: The HELENA study","type":"article-journal","volume":"51"},"uris":["http://www.mendeley.com/documents/?uuid=a6dfaa07-8282-4a27-9b35-64f4a10ed1c6"]}],"mendeley":{"formattedCitation":"[10]","plainTextFormattedCitation":"[10]","previouslyFormattedCitation":"[10]"},"properties":{"noteIndex":0},"schema":"https://github.com/citation-style-language/schema/raw/master/csl-citation.json"}</w:instrText>
      </w:r>
      <w:r w:rsidR="00416A0E" w:rsidRPr="00D9232D">
        <w:rPr>
          <w:sz w:val="24"/>
          <w:szCs w:val="24"/>
          <w:lang w:val="en-GB"/>
        </w:rPr>
        <w:fldChar w:fldCharType="separate"/>
      </w:r>
      <w:r w:rsidR="004E289D" w:rsidRPr="004E289D">
        <w:rPr>
          <w:noProof/>
          <w:sz w:val="24"/>
          <w:szCs w:val="24"/>
          <w:lang w:val="en-GB"/>
        </w:rPr>
        <w:t>[10]</w:t>
      </w:r>
      <w:r w:rsidR="00416A0E" w:rsidRPr="00D9232D">
        <w:rPr>
          <w:sz w:val="24"/>
          <w:szCs w:val="24"/>
          <w:lang w:val="en-GB"/>
        </w:rPr>
        <w:fldChar w:fldCharType="end"/>
      </w:r>
      <w:r w:rsidR="00E9107F">
        <w:rPr>
          <w:sz w:val="24"/>
          <w:szCs w:val="24"/>
          <w:lang w:val="en-GB"/>
        </w:rPr>
        <w:t>.</w:t>
      </w:r>
      <w:r w:rsidR="00416A0E" w:rsidRPr="00D9232D">
        <w:rPr>
          <w:sz w:val="24"/>
          <w:szCs w:val="24"/>
          <w:lang w:val="en-GB"/>
        </w:rPr>
        <w:t xml:space="preserve">  </w:t>
      </w:r>
    </w:p>
    <w:p w14:paraId="77F3A73A" w14:textId="3A189501" w:rsidR="00561D6F" w:rsidRPr="00D9232D" w:rsidRDefault="0023080D" w:rsidP="004E289D">
      <w:pPr>
        <w:spacing w:line="480" w:lineRule="auto"/>
        <w:rPr>
          <w:sz w:val="24"/>
          <w:szCs w:val="24"/>
          <w:lang w:val="en-GB"/>
        </w:rPr>
      </w:pPr>
      <w:r w:rsidRPr="00D9232D">
        <w:rPr>
          <w:sz w:val="24"/>
          <w:szCs w:val="24"/>
          <w:lang w:val="en-GB"/>
        </w:rPr>
        <w:lastRenderedPageBreak/>
        <w:t xml:space="preserve">Regarding the observed association between </w:t>
      </w:r>
      <w:r w:rsidR="00442540">
        <w:rPr>
          <w:sz w:val="24"/>
          <w:szCs w:val="24"/>
          <w:lang w:val="en-GB"/>
        </w:rPr>
        <w:t>age of first exposure</w:t>
      </w:r>
      <w:r w:rsidRPr="00D9232D">
        <w:rPr>
          <w:sz w:val="24"/>
          <w:szCs w:val="24"/>
          <w:lang w:val="en-GB"/>
        </w:rPr>
        <w:t xml:space="preserve"> and heavy </w:t>
      </w:r>
      <w:r w:rsidR="00D9232D">
        <w:rPr>
          <w:sz w:val="24"/>
          <w:szCs w:val="24"/>
          <w:lang w:val="en-GB"/>
        </w:rPr>
        <w:t>Internet</w:t>
      </w:r>
      <w:r w:rsidRPr="00D9232D">
        <w:rPr>
          <w:sz w:val="24"/>
          <w:szCs w:val="24"/>
          <w:lang w:val="en-GB"/>
        </w:rPr>
        <w:t xml:space="preserve"> </w:t>
      </w:r>
      <w:r w:rsidR="004A602E">
        <w:rPr>
          <w:sz w:val="24"/>
          <w:szCs w:val="24"/>
          <w:lang w:val="en-GB"/>
        </w:rPr>
        <w:t xml:space="preserve">use </w:t>
      </w:r>
      <w:r w:rsidRPr="00D9232D">
        <w:rPr>
          <w:sz w:val="24"/>
          <w:szCs w:val="24"/>
          <w:lang w:val="en-GB"/>
        </w:rPr>
        <w:t>in adolescence</w:t>
      </w:r>
      <w:r w:rsidR="007820CF" w:rsidRPr="00D9232D">
        <w:rPr>
          <w:sz w:val="24"/>
          <w:szCs w:val="24"/>
          <w:lang w:val="en-GB"/>
        </w:rPr>
        <w:t xml:space="preserve">, </w:t>
      </w:r>
      <w:r w:rsidR="001865D8" w:rsidRPr="00D9232D">
        <w:rPr>
          <w:sz w:val="24"/>
          <w:szCs w:val="24"/>
          <w:lang w:val="en-GB"/>
        </w:rPr>
        <w:t xml:space="preserve">prior research observed more serious problematic </w:t>
      </w:r>
      <w:r w:rsidR="00D9232D">
        <w:rPr>
          <w:sz w:val="24"/>
          <w:szCs w:val="24"/>
          <w:lang w:val="en-GB"/>
        </w:rPr>
        <w:t>Internet</w:t>
      </w:r>
      <w:r w:rsidR="001865D8" w:rsidRPr="00D9232D">
        <w:rPr>
          <w:sz w:val="24"/>
          <w:szCs w:val="24"/>
          <w:lang w:val="en-GB"/>
        </w:rPr>
        <w:t xml:space="preserve"> use in </w:t>
      </w:r>
      <w:r w:rsidR="004158E3" w:rsidRPr="00D9232D">
        <w:rPr>
          <w:sz w:val="24"/>
          <w:szCs w:val="24"/>
          <w:lang w:val="en-GB"/>
        </w:rPr>
        <w:t xml:space="preserve">elementary school </w:t>
      </w:r>
      <w:r w:rsidR="001865D8" w:rsidRPr="00D9232D">
        <w:rPr>
          <w:sz w:val="24"/>
          <w:szCs w:val="24"/>
          <w:lang w:val="en-GB"/>
        </w:rPr>
        <w:t xml:space="preserve">among Taiwanese children exhibiting </w:t>
      </w:r>
      <w:r w:rsidR="004158E3" w:rsidRPr="00D9232D">
        <w:rPr>
          <w:sz w:val="24"/>
          <w:szCs w:val="24"/>
          <w:lang w:val="en-GB"/>
        </w:rPr>
        <w:t xml:space="preserve">earlier experiences of </w:t>
      </w:r>
      <w:r w:rsidR="001865D8" w:rsidRPr="00D9232D">
        <w:rPr>
          <w:sz w:val="24"/>
          <w:szCs w:val="24"/>
          <w:lang w:val="en-GB"/>
        </w:rPr>
        <w:t>us</w:t>
      </w:r>
      <w:r w:rsidR="004158E3" w:rsidRPr="00D9232D">
        <w:rPr>
          <w:sz w:val="24"/>
          <w:szCs w:val="24"/>
          <w:lang w:val="en-GB"/>
        </w:rPr>
        <w:t>ing</w:t>
      </w:r>
      <w:r w:rsidR="001865D8" w:rsidRPr="00D9232D">
        <w:rPr>
          <w:sz w:val="24"/>
          <w:szCs w:val="24"/>
          <w:lang w:val="en-GB"/>
        </w:rPr>
        <w:t xml:space="preserve"> </w:t>
      </w:r>
      <w:r w:rsidR="004158E3" w:rsidRPr="00D9232D">
        <w:rPr>
          <w:sz w:val="24"/>
          <w:szCs w:val="24"/>
          <w:lang w:val="en-GB"/>
        </w:rPr>
        <w:t>the</w:t>
      </w:r>
      <w:r w:rsidR="001865D8" w:rsidRPr="00D9232D">
        <w:rPr>
          <w:sz w:val="24"/>
          <w:szCs w:val="24"/>
          <w:lang w:val="en-GB"/>
        </w:rPr>
        <w:t xml:space="preserve"> </w:t>
      </w:r>
      <w:r w:rsidR="00D9232D">
        <w:rPr>
          <w:sz w:val="24"/>
          <w:szCs w:val="24"/>
          <w:lang w:val="en-GB"/>
        </w:rPr>
        <w:t>Internet</w:t>
      </w:r>
      <w:r w:rsidR="00E9107F">
        <w:rPr>
          <w:sz w:val="24"/>
          <w:szCs w:val="24"/>
          <w:lang w:val="en-GB"/>
        </w:rPr>
        <w:t xml:space="preserve"> </w:t>
      </w:r>
      <w:r w:rsidR="001865D8" w:rsidRPr="00D9232D">
        <w:rPr>
          <w:sz w:val="24"/>
          <w:szCs w:val="24"/>
          <w:lang w:val="en-GB"/>
        </w:rPr>
        <w:fldChar w:fldCharType="begin" w:fldLock="1"/>
      </w:r>
      <w:r w:rsidR="00E9107F">
        <w:rPr>
          <w:sz w:val="24"/>
          <w:szCs w:val="24"/>
          <w:lang w:val="en-GB"/>
        </w:rPr>
        <w:instrText>ADDIN CSL_CITATION {"citationItems":[{"id":"ITEM-1","itemData":{"DOI":"10.1080/1369118X.2019.1645192","ISSN":"14684462","abstract":"This study develops a new version of the problematic Internet use scale suitable for senior elementary school students. It includes six subscales: time management, compulsive Internet use, emotion adjustment influence, interpersonal and academic influence, preferred online social interaction, and daily life influence. This research utilized the survey method to understand the relationship between student backgrounds and their Internet use behaviors, and problematic Internet use. A total of 775 elementary school fifth and sixth graders from northern Taiwan were sampled based on the stratified random sampling method. There were 763 valid surveys. The results indicated that the factors of gender, parents’ attitudes towards Internet use, the time when subjects first started to use the Internet, number of hours spent getting online each time on weekdays, number of types of devices used to go online, and Internet activity preferences are significant. Boys have more serious problematic Internet use than girls. Different Internet activities present different risks of triggering problematic Internet use for male and female students. Students whose parents allow them to use the Internet without intervention have more serious problematic Internet use. Students exhibit more serious problematic internet use if they start using the Internet before beginning elementary school. When students use the Internet more and can go online using more types of devices, they tend to have more serious problematic Internet use. This study finds that students preferring Internet activities for recreational entertainment and social interaction have more serious problematic Internet use than students preferring Internet activities as learning tools.","author":[{"dropping-particle":"","family":"Wang","given":"Tzu Hua","non-dropping-particle":"","parse-names":false,"suffix":""},{"dropping-particle":"","family":"Cheng","given":"Hsing Yi","non-dropping-particle":"","parse-names":false,"suffix":""}],"container-title":"Information Communication and Society","id":"ITEM-1","issue":"0","issued":{"date-parts":[["2019"]]},"page":"1-22","publisher":"Taylor &amp; Francis","title":"Problematic Internet use among elementary school students: prevalence and risk factors","type":"article-journal","volume":"0"},"uris":["http://www.mendeley.com/documents/?uuid=896196e3-1895-448f-9bd6-509ed9438c83"]}],"mendeley":{"formattedCitation":"[12]","plainTextFormattedCitation":"[12]","previouslyFormattedCitation":"[12]"},"properties":{"noteIndex":0},"schema":"https://github.com/citation-style-language/schema/raw/master/csl-citation.json"}</w:instrText>
      </w:r>
      <w:r w:rsidR="001865D8" w:rsidRPr="00D9232D">
        <w:rPr>
          <w:sz w:val="24"/>
          <w:szCs w:val="24"/>
          <w:lang w:val="en-GB"/>
        </w:rPr>
        <w:fldChar w:fldCharType="separate"/>
      </w:r>
      <w:r w:rsidR="004E289D" w:rsidRPr="004E289D">
        <w:rPr>
          <w:noProof/>
          <w:sz w:val="24"/>
          <w:szCs w:val="24"/>
          <w:lang w:val="en-GB"/>
        </w:rPr>
        <w:t>[12]</w:t>
      </w:r>
      <w:r w:rsidR="001865D8" w:rsidRPr="00D9232D">
        <w:rPr>
          <w:sz w:val="24"/>
          <w:szCs w:val="24"/>
          <w:lang w:val="en-GB"/>
        </w:rPr>
        <w:fldChar w:fldCharType="end"/>
      </w:r>
      <w:r w:rsidR="00E9107F">
        <w:rPr>
          <w:sz w:val="24"/>
          <w:szCs w:val="24"/>
          <w:lang w:val="en-GB"/>
        </w:rPr>
        <w:t>.</w:t>
      </w:r>
      <w:r w:rsidR="001865D8" w:rsidRPr="00D9232D">
        <w:rPr>
          <w:sz w:val="24"/>
          <w:szCs w:val="24"/>
          <w:lang w:val="en-GB"/>
        </w:rPr>
        <w:t xml:space="preserve"> </w:t>
      </w:r>
      <w:r w:rsidR="004158E3" w:rsidRPr="00D9232D">
        <w:rPr>
          <w:sz w:val="24"/>
          <w:szCs w:val="24"/>
          <w:lang w:val="en-GB"/>
        </w:rPr>
        <w:t xml:space="preserve">This strengthens the possibility of an association between the two </w:t>
      </w:r>
      <w:proofErr w:type="gramStart"/>
      <w:r w:rsidR="004158E3" w:rsidRPr="00D9232D">
        <w:rPr>
          <w:sz w:val="24"/>
          <w:szCs w:val="24"/>
          <w:lang w:val="en-GB"/>
        </w:rPr>
        <w:t>aforementioned study</w:t>
      </w:r>
      <w:proofErr w:type="gramEnd"/>
      <w:r w:rsidR="004158E3" w:rsidRPr="00D9232D">
        <w:rPr>
          <w:sz w:val="24"/>
          <w:szCs w:val="24"/>
          <w:lang w:val="en-GB"/>
        </w:rPr>
        <w:t xml:space="preserve"> variables that might go back earlier than the age of 15 or 16 years. </w:t>
      </w:r>
      <w:r w:rsidR="00157919" w:rsidRPr="00D9232D">
        <w:rPr>
          <w:sz w:val="24"/>
          <w:szCs w:val="24"/>
          <w:lang w:val="en-GB"/>
        </w:rPr>
        <w:t xml:space="preserve">As it has been observed for younger children, those adolescents going online through more types of devices, might also have more serious problems with </w:t>
      </w:r>
      <w:r w:rsidR="00D9232D">
        <w:rPr>
          <w:sz w:val="24"/>
          <w:szCs w:val="24"/>
          <w:lang w:val="en-GB"/>
        </w:rPr>
        <w:t>Internet</w:t>
      </w:r>
      <w:r w:rsidR="00157919" w:rsidRPr="00D9232D">
        <w:rPr>
          <w:sz w:val="24"/>
          <w:szCs w:val="24"/>
          <w:lang w:val="en-GB"/>
        </w:rPr>
        <w:t xml:space="preserve"> use</w:t>
      </w:r>
      <w:r w:rsidR="00E9107F">
        <w:rPr>
          <w:sz w:val="24"/>
          <w:szCs w:val="24"/>
          <w:lang w:val="en-GB"/>
        </w:rPr>
        <w:t xml:space="preserve"> </w:t>
      </w:r>
      <w:r w:rsidR="00157919" w:rsidRPr="00D9232D">
        <w:rPr>
          <w:sz w:val="24"/>
          <w:szCs w:val="24"/>
          <w:lang w:val="en-GB"/>
        </w:rPr>
        <w:fldChar w:fldCharType="begin" w:fldLock="1"/>
      </w:r>
      <w:r w:rsidR="00E9107F">
        <w:rPr>
          <w:sz w:val="24"/>
          <w:szCs w:val="24"/>
          <w:lang w:val="en-GB"/>
        </w:rPr>
        <w:instrText>ADDIN CSL_CITATION {"citationItems":[{"id":"ITEM-1","itemData":{"DOI":"10.1080/1369118X.2019.1645192","ISSN":"14684462","abstract":"This study develops a new version of the problematic Internet use scale suitable for senior elementary school students. It includes six subscales: time management, compulsive Internet use, emotion adjustment influence, interpersonal and academic influence, preferred online social interaction, and daily life influence. This research utilized the survey method to understand the relationship between student backgrounds and their Internet use behaviors, and problematic Internet use. A total of 775 elementary school fifth and sixth graders from northern Taiwan were sampled based on the stratified random sampling method. There were 763 valid surveys. The results indicated that the factors of gender, parents’ attitudes towards Internet use, the time when subjects first started to use the Internet, number of hours spent getting online each time on weekdays, number of types of devices used to go online, and Internet activity preferences are significant. Boys have more serious problematic Internet use than girls. Different Internet activities present different risks of triggering problematic Internet use for male and female students. Students whose parents allow them to use the Internet without intervention have more serious problematic Internet use. Students exhibit more serious problematic internet use if they start using the Internet before beginning elementary school. When students use the Internet more and can go online using more types of devices, they tend to have more serious problematic Internet use. This study finds that students preferring Internet activities for recreational entertainment and social interaction have more serious problematic Internet use than students preferring Internet activities as learning tools.","author":[{"dropping-particle":"","family":"Wang","given":"Tzu Hua","non-dropping-particle":"","parse-names":false,"suffix":""},{"dropping-particle":"","family":"Cheng","given":"Hsing Yi","non-dropping-particle":"","parse-names":false,"suffix":""}],"container-title":"Information Communication and Society","id":"ITEM-1","issue":"0","issued":{"date-parts":[["2019"]]},"page":"1-22","publisher":"Taylor &amp; Francis","title":"Problematic Internet use among elementary school students: prevalence and risk factors","type":"article-journal","volume":"0"},"uris":["http://www.mendeley.com/documents/?uuid=896196e3-1895-448f-9bd6-509ed9438c83"]}],"mendeley":{"formattedCitation":"[12]","plainTextFormattedCitation":"[12]","previouslyFormattedCitation":"[12]"},"properties":{"noteIndex":0},"schema":"https://github.com/citation-style-language/schema/raw/master/csl-citation.json"}</w:instrText>
      </w:r>
      <w:r w:rsidR="00157919" w:rsidRPr="00D9232D">
        <w:rPr>
          <w:sz w:val="24"/>
          <w:szCs w:val="24"/>
          <w:lang w:val="en-GB"/>
        </w:rPr>
        <w:fldChar w:fldCharType="separate"/>
      </w:r>
      <w:r w:rsidR="004E289D" w:rsidRPr="004E289D">
        <w:rPr>
          <w:noProof/>
          <w:sz w:val="24"/>
          <w:szCs w:val="24"/>
          <w:lang w:val="en-GB"/>
        </w:rPr>
        <w:t>[12]</w:t>
      </w:r>
      <w:r w:rsidR="00157919" w:rsidRPr="00D9232D">
        <w:rPr>
          <w:sz w:val="24"/>
          <w:szCs w:val="24"/>
          <w:lang w:val="en-GB"/>
        </w:rPr>
        <w:fldChar w:fldCharType="end"/>
      </w:r>
      <w:r w:rsidR="00E9107F">
        <w:rPr>
          <w:sz w:val="24"/>
          <w:szCs w:val="24"/>
          <w:lang w:val="en-GB"/>
        </w:rPr>
        <w:t>.</w:t>
      </w:r>
      <w:r w:rsidR="00157919" w:rsidRPr="00D9232D">
        <w:rPr>
          <w:sz w:val="24"/>
          <w:szCs w:val="24"/>
          <w:lang w:val="en-GB"/>
        </w:rPr>
        <w:t xml:space="preserve"> </w:t>
      </w:r>
      <w:r w:rsidR="00B4754E" w:rsidRPr="00D9232D">
        <w:rPr>
          <w:sz w:val="24"/>
          <w:szCs w:val="24"/>
          <w:lang w:val="en-GB"/>
        </w:rPr>
        <w:t xml:space="preserve">Nevertheless, our study observed a consistent </w:t>
      </w:r>
      <w:r w:rsidR="000E2631" w:rsidRPr="00D9232D">
        <w:rPr>
          <w:sz w:val="24"/>
          <w:szCs w:val="24"/>
          <w:lang w:val="en-GB"/>
        </w:rPr>
        <w:t xml:space="preserve">negative </w:t>
      </w:r>
      <w:r w:rsidR="00B4754E" w:rsidRPr="00D9232D">
        <w:rPr>
          <w:sz w:val="24"/>
          <w:szCs w:val="24"/>
          <w:lang w:val="en-GB"/>
        </w:rPr>
        <w:t xml:space="preserve">association between age of use of initiation and heavy </w:t>
      </w:r>
      <w:r w:rsidR="00240326">
        <w:rPr>
          <w:sz w:val="24"/>
          <w:szCs w:val="24"/>
          <w:lang w:val="en-GB"/>
        </w:rPr>
        <w:t>Internet use</w:t>
      </w:r>
      <w:r w:rsidR="00B4754E" w:rsidRPr="00D9232D">
        <w:rPr>
          <w:sz w:val="24"/>
          <w:szCs w:val="24"/>
          <w:lang w:val="en-GB"/>
        </w:rPr>
        <w:t xml:space="preserve"> </w:t>
      </w:r>
      <w:r w:rsidR="000E2631" w:rsidRPr="00D9232D">
        <w:rPr>
          <w:sz w:val="24"/>
          <w:szCs w:val="24"/>
          <w:lang w:val="en-GB"/>
        </w:rPr>
        <w:t>regardless</w:t>
      </w:r>
      <w:r w:rsidR="00B4754E" w:rsidRPr="00D9232D">
        <w:rPr>
          <w:sz w:val="24"/>
          <w:szCs w:val="24"/>
          <w:lang w:val="en-GB"/>
        </w:rPr>
        <w:t xml:space="preserve"> of </w:t>
      </w:r>
      <w:r w:rsidR="00EB08EA">
        <w:rPr>
          <w:sz w:val="24"/>
          <w:szCs w:val="24"/>
          <w:lang w:val="en-GB"/>
        </w:rPr>
        <w:t>SES</w:t>
      </w:r>
      <w:r w:rsidR="00AB57EB" w:rsidRPr="00D9232D">
        <w:rPr>
          <w:sz w:val="24"/>
          <w:szCs w:val="24"/>
          <w:lang w:val="en-GB"/>
        </w:rPr>
        <w:t xml:space="preserve"> (defined in this study by the ownership of </w:t>
      </w:r>
      <w:proofErr w:type="gramStart"/>
      <w:r w:rsidR="00AB57EB" w:rsidRPr="00D9232D">
        <w:rPr>
          <w:sz w:val="24"/>
          <w:szCs w:val="24"/>
          <w:lang w:val="en-GB"/>
        </w:rPr>
        <w:t>a number of</w:t>
      </w:r>
      <w:proofErr w:type="gramEnd"/>
      <w:r w:rsidR="00AB57EB" w:rsidRPr="00D9232D">
        <w:rPr>
          <w:sz w:val="24"/>
          <w:szCs w:val="24"/>
          <w:lang w:val="en-GB"/>
        </w:rPr>
        <w:t xml:space="preserve"> items</w:t>
      </w:r>
      <w:r w:rsidR="0099097B" w:rsidRPr="00D9232D">
        <w:rPr>
          <w:sz w:val="24"/>
          <w:szCs w:val="24"/>
          <w:lang w:val="en-GB"/>
        </w:rPr>
        <w:t>,</w:t>
      </w:r>
      <w:r w:rsidR="00AB57EB" w:rsidRPr="00D9232D">
        <w:rPr>
          <w:sz w:val="24"/>
          <w:szCs w:val="24"/>
          <w:lang w:val="en-GB"/>
        </w:rPr>
        <w:t xml:space="preserve"> including different digital devices)</w:t>
      </w:r>
      <w:r w:rsidR="0099097B" w:rsidRPr="00D9232D">
        <w:rPr>
          <w:sz w:val="24"/>
          <w:szCs w:val="24"/>
          <w:lang w:val="en-GB"/>
        </w:rPr>
        <w:t xml:space="preserve"> which indicates that the association </w:t>
      </w:r>
      <w:r w:rsidR="00240326">
        <w:rPr>
          <w:sz w:val="24"/>
          <w:szCs w:val="24"/>
          <w:lang w:val="en-GB"/>
        </w:rPr>
        <w:t>is robust to this confounder</w:t>
      </w:r>
      <w:r w:rsidR="00AB57EB" w:rsidRPr="00D9232D">
        <w:rPr>
          <w:sz w:val="24"/>
          <w:szCs w:val="24"/>
          <w:lang w:val="en-GB"/>
        </w:rPr>
        <w:t xml:space="preserve">. Similarly, </w:t>
      </w:r>
      <w:r w:rsidR="007C47DF" w:rsidRPr="00D9232D">
        <w:rPr>
          <w:sz w:val="24"/>
          <w:szCs w:val="24"/>
          <w:lang w:val="en-GB"/>
        </w:rPr>
        <w:t>sex</w:t>
      </w:r>
      <w:r w:rsidR="00AB57EB" w:rsidRPr="00D9232D">
        <w:rPr>
          <w:sz w:val="24"/>
          <w:szCs w:val="24"/>
          <w:lang w:val="en-GB"/>
        </w:rPr>
        <w:t xml:space="preserve"> does not seem to substantially modify our results since </w:t>
      </w:r>
      <w:r w:rsidR="007C47DF" w:rsidRPr="00D9232D">
        <w:rPr>
          <w:sz w:val="24"/>
          <w:szCs w:val="24"/>
          <w:lang w:val="en-GB"/>
        </w:rPr>
        <w:t xml:space="preserve">both adjusted and sensitivity analyses involving sex continue showing </w:t>
      </w:r>
      <w:r w:rsidR="000470B8" w:rsidRPr="00D9232D">
        <w:rPr>
          <w:sz w:val="24"/>
          <w:szCs w:val="24"/>
          <w:lang w:val="en-GB"/>
        </w:rPr>
        <w:t>a strong</w:t>
      </w:r>
      <w:r w:rsidR="007C47DF" w:rsidRPr="00D9232D">
        <w:rPr>
          <w:sz w:val="24"/>
          <w:szCs w:val="24"/>
          <w:lang w:val="en-GB"/>
        </w:rPr>
        <w:t xml:space="preserve"> </w:t>
      </w:r>
      <w:r w:rsidR="000470B8" w:rsidRPr="00D9232D">
        <w:rPr>
          <w:sz w:val="24"/>
          <w:szCs w:val="24"/>
          <w:lang w:val="en-GB"/>
        </w:rPr>
        <w:t>association</w:t>
      </w:r>
      <w:r w:rsidR="007C47DF" w:rsidRPr="00D9232D">
        <w:rPr>
          <w:sz w:val="24"/>
          <w:szCs w:val="24"/>
          <w:lang w:val="en-GB"/>
        </w:rPr>
        <w:t xml:space="preserve">. </w:t>
      </w:r>
      <w:r w:rsidR="000470B8" w:rsidRPr="00D9232D">
        <w:rPr>
          <w:sz w:val="24"/>
          <w:szCs w:val="24"/>
          <w:lang w:val="en-GB"/>
        </w:rPr>
        <w:t xml:space="preserve">By contrast, </w:t>
      </w:r>
      <w:r w:rsidR="00240326">
        <w:rPr>
          <w:sz w:val="24"/>
          <w:szCs w:val="24"/>
          <w:lang w:val="en-GB"/>
        </w:rPr>
        <w:t>a Korean study</w:t>
      </w:r>
      <w:r w:rsidR="000470B8" w:rsidRPr="00D9232D">
        <w:rPr>
          <w:sz w:val="24"/>
          <w:szCs w:val="24"/>
          <w:lang w:val="en-GB"/>
        </w:rPr>
        <w:t xml:space="preserve"> observed </w:t>
      </w:r>
      <w:r w:rsidR="00240326">
        <w:rPr>
          <w:sz w:val="24"/>
          <w:szCs w:val="24"/>
          <w:lang w:val="en-GB"/>
        </w:rPr>
        <w:t>the association between</w:t>
      </w:r>
      <w:r w:rsidR="000470B8" w:rsidRPr="00D9232D">
        <w:rPr>
          <w:sz w:val="24"/>
          <w:szCs w:val="24"/>
          <w:lang w:val="en-GB"/>
        </w:rPr>
        <w:t xml:space="preserve"> </w:t>
      </w:r>
      <w:r w:rsidR="00D9232D">
        <w:rPr>
          <w:sz w:val="24"/>
          <w:szCs w:val="24"/>
          <w:lang w:val="en-GB"/>
        </w:rPr>
        <w:t>Internet</w:t>
      </w:r>
      <w:r w:rsidR="000470B8" w:rsidRPr="00D9232D">
        <w:rPr>
          <w:sz w:val="24"/>
          <w:szCs w:val="24"/>
          <w:lang w:val="en-GB"/>
        </w:rPr>
        <w:t xml:space="preserve"> addiction </w:t>
      </w:r>
      <w:r w:rsidR="00240326">
        <w:rPr>
          <w:sz w:val="24"/>
          <w:szCs w:val="24"/>
          <w:lang w:val="en-GB"/>
        </w:rPr>
        <w:t xml:space="preserve">and adverse </w:t>
      </w:r>
      <w:r w:rsidR="000470B8" w:rsidRPr="00D9232D">
        <w:rPr>
          <w:sz w:val="24"/>
          <w:szCs w:val="24"/>
          <w:lang w:val="en-GB"/>
        </w:rPr>
        <w:t xml:space="preserve">psychological health </w:t>
      </w:r>
      <w:r w:rsidR="00240326">
        <w:rPr>
          <w:sz w:val="24"/>
          <w:szCs w:val="24"/>
          <w:lang w:val="en-GB"/>
        </w:rPr>
        <w:t xml:space="preserve">outcomes was more pronounced </w:t>
      </w:r>
      <w:r w:rsidR="000470B8" w:rsidRPr="00D9232D">
        <w:rPr>
          <w:sz w:val="24"/>
          <w:szCs w:val="24"/>
          <w:lang w:val="en-GB"/>
        </w:rPr>
        <w:t>in boys</w:t>
      </w:r>
      <w:r w:rsidR="00240326">
        <w:rPr>
          <w:sz w:val="24"/>
          <w:szCs w:val="24"/>
          <w:lang w:val="en-GB"/>
        </w:rPr>
        <w:t xml:space="preserve"> than in girls</w:t>
      </w:r>
      <w:r w:rsidR="00E9107F">
        <w:rPr>
          <w:sz w:val="24"/>
          <w:szCs w:val="24"/>
          <w:lang w:val="en-GB"/>
        </w:rPr>
        <w:t xml:space="preserve"> </w:t>
      </w:r>
      <w:r w:rsidR="00240326">
        <w:rPr>
          <w:sz w:val="24"/>
          <w:szCs w:val="24"/>
          <w:lang w:val="en-GB"/>
        </w:rPr>
        <w:fldChar w:fldCharType="begin" w:fldLock="1"/>
      </w:r>
      <w:r w:rsidR="00E9107F">
        <w:rPr>
          <w:sz w:val="24"/>
          <w:szCs w:val="24"/>
          <w:lang w:val="en-GB"/>
        </w:rPr>
        <w:instrText>ADDIN CSL_CITATION {"citationItems":[{"id":"ITEM-1","itemData":{"DOI":"10.1007/s11469-014-9500-7","ISSN":"15571882","abstract":"Internet addiction, especially its prevalence among adolescents and its predictors, has been the focus of much research. Few studies have investigated gender differences in the relationship between Internet addiction and psychological health among adolescents. The present study investigated gender differences in Internet addiction associated with self-rated health, subjective happiness, and depressive symptoms among Korean adolescents aged 12 to 18 years using a nationally representative dataset. Data from 56,086 students (28,712 boys and 27,374 girls) from 400 middle schools and 400 high schools were analyzed. We found that 2.8 % of the students (3.6 % boys and 1.9 % girls) were addicted users, and the prevalence of Internet addiction was higher in boys than in girls. In multiple logistic regression analysis, three psychological health indicators including poor self-rated health, subjective unhappiness, and depressive symptoms were significantly related with Internet addiction in boys and girls. Girls with emotional difficulties such as subjective unhappiness or depressive symptoms had much higher risks of Internet addiction than did boys with similar problems. Further attention should be given to developing Internet addiction prevention and intervention programs that are tailored to fit boys’ and girls’ different needs.","author":[{"dropping-particle":"","family":"Ha","given":"Yeong Mi","non-dropping-particle":"","parse-names":false,"suffix":""},{"dropping-particle":"","family":"Hwang","given":"Won Ju","non-dropping-particle":"","parse-names":false,"suffix":""}],"container-title":"International Journal of Mental Health and Addiction","id":"ITEM-1","issue":"5","issued":{"date-parts":[["2014"]]},"page":"660-669","title":"Gender Differences in Internet Addiction Associated with Psychological Health Indicators Among Adolescents Using a National Web-based Survey","type":"article-journal","volume":"12"},"uris":["http://www.mendeley.com/documents/?uuid=aefd5a62-1e0e-43fd-951e-74f4d19bd579"]}],"mendeley":{"formattedCitation":"[22]","plainTextFormattedCitation":"[22]","previouslyFormattedCitation":"[22]"},"properties":{"noteIndex":0},"schema":"https://github.com/citation-style-language/schema/raw/master/csl-citation.json"}</w:instrText>
      </w:r>
      <w:r w:rsidR="00240326">
        <w:rPr>
          <w:sz w:val="24"/>
          <w:szCs w:val="24"/>
          <w:lang w:val="en-GB"/>
        </w:rPr>
        <w:fldChar w:fldCharType="separate"/>
      </w:r>
      <w:r w:rsidR="004E289D" w:rsidRPr="004E289D">
        <w:rPr>
          <w:noProof/>
          <w:sz w:val="24"/>
          <w:szCs w:val="24"/>
          <w:lang w:val="en-GB"/>
        </w:rPr>
        <w:t>[22]</w:t>
      </w:r>
      <w:r w:rsidR="00240326">
        <w:rPr>
          <w:sz w:val="24"/>
          <w:szCs w:val="24"/>
          <w:lang w:val="en-GB"/>
        </w:rPr>
        <w:fldChar w:fldCharType="end"/>
      </w:r>
      <w:r w:rsidR="00E9107F">
        <w:rPr>
          <w:sz w:val="24"/>
          <w:szCs w:val="24"/>
          <w:lang w:val="en-GB"/>
        </w:rPr>
        <w:t>,</w:t>
      </w:r>
      <w:r w:rsidR="000470B8" w:rsidRPr="00D9232D">
        <w:rPr>
          <w:sz w:val="24"/>
          <w:szCs w:val="24"/>
          <w:lang w:val="en-GB"/>
        </w:rPr>
        <w:t xml:space="preserve"> although the differen</w:t>
      </w:r>
      <w:r w:rsidR="00561D6F" w:rsidRPr="00D9232D">
        <w:rPr>
          <w:sz w:val="24"/>
          <w:szCs w:val="24"/>
          <w:lang w:val="en-GB"/>
        </w:rPr>
        <w:t>t</w:t>
      </w:r>
      <w:r w:rsidR="000470B8" w:rsidRPr="00D9232D">
        <w:rPr>
          <w:sz w:val="24"/>
          <w:szCs w:val="24"/>
          <w:lang w:val="en-GB"/>
        </w:rPr>
        <w:t xml:space="preserve"> outcome</w:t>
      </w:r>
      <w:r w:rsidR="00CF63D0">
        <w:rPr>
          <w:sz w:val="24"/>
          <w:szCs w:val="24"/>
          <w:lang w:val="en-GB"/>
        </w:rPr>
        <w:t>s used</w:t>
      </w:r>
      <w:r w:rsidR="000470B8" w:rsidRPr="00D9232D">
        <w:rPr>
          <w:sz w:val="24"/>
          <w:szCs w:val="24"/>
          <w:lang w:val="en-GB"/>
        </w:rPr>
        <w:t xml:space="preserve"> makes comparisons </w:t>
      </w:r>
      <w:r w:rsidR="00CF63D0">
        <w:rPr>
          <w:sz w:val="24"/>
          <w:szCs w:val="24"/>
          <w:lang w:val="en-GB"/>
        </w:rPr>
        <w:t xml:space="preserve">with our study </w:t>
      </w:r>
      <w:r w:rsidR="000470B8" w:rsidRPr="00D9232D">
        <w:rPr>
          <w:sz w:val="24"/>
          <w:szCs w:val="24"/>
          <w:lang w:val="en-GB"/>
        </w:rPr>
        <w:t xml:space="preserve">difficult. </w:t>
      </w:r>
    </w:p>
    <w:p w14:paraId="226DCEE8" w14:textId="458EBDE4" w:rsidR="00E02701" w:rsidRDefault="00997AC3" w:rsidP="004E289D">
      <w:pPr>
        <w:spacing w:line="480" w:lineRule="auto"/>
        <w:rPr>
          <w:sz w:val="24"/>
          <w:szCs w:val="24"/>
          <w:lang w:val="en-GB"/>
        </w:rPr>
      </w:pPr>
      <w:r w:rsidRPr="00D9232D">
        <w:rPr>
          <w:sz w:val="24"/>
          <w:szCs w:val="24"/>
          <w:lang w:val="en-GB"/>
        </w:rPr>
        <w:t>The results of this study should be interpreted in the light of several limitations, including the possibility of a recall bias</w:t>
      </w:r>
      <w:r w:rsidR="00F27503">
        <w:rPr>
          <w:sz w:val="24"/>
          <w:szCs w:val="24"/>
          <w:lang w:val="en-GB"/>
        </w:rPr>
        <w:t xml:space="preserve"> in the cross-sectional data</w:t>
      </w:r>
      <w:r w:rsidRPr="00D9232D">
        <w:rPr>
          <w:sz w:val="24"/>
          <w:szCs w:val="24"/>
          <w:lang w:val="en-GB"/>
        </w:rPr>
        <w:t xml:space="preserve">, </w:t>
      </w:r>
      <w:r w:rsidR="00F27503">
        <w:rPr>
          <w:sz w:val="24"/>
          <w:szCs w:val="24"/>
          <w:lang w:val="en-GB"/>
        </w:rPr>
        <w:t xml:space="preserve">although the impact of this may </w:t>
      </w:r>
      <w:r w:rsidRPr="00D9232D">
        <w:rPr>
          <w:sz w:val="24"/>
          <w:szCs w:val="24"/>
          <w:lang w:val="en-GB"/>
        </w:rPr>
        <w:t xml:space="preserve">have been attenuated through the large representative sample study used. </w:t>
      </w:r>
      <w:r w:rsidR="0056009F" w:rsidRPr="00D9232D">
        <w:rPr>
          <w:sz w:val="24"/>
          <w:szCs w:val="24"/>
          <w:lang w:val="en-GB"/>
        </w:rPr>
        <w:t>Additionally, owing to the high percentage of missing participants from specific countries, there is still the possibility of a selection bias, although the wide</w:t>
      </w:r>
      <w:r w:rsidR="0082016B" w:rsidRPr="00D9232D">
        <w:rPr>
          <w:sz w:val="24"/>
          <w:szCs w:val="24"/>
          <w:lang w:val="en-GB"/>
        </w:rPr>
        <w:t>-</w:t>
      </w:r>
      <w:r w:rsidR="0056009F" w:rsidRPr="00D9232D">
        <w:rPr>
          <w:sz w:val="24"/>
          <w:szCs w:val="24"/>
          <w:lang w:val="en-GB"/>
        </w:rPr>
        <w:t>spread sample across 5</w:t>
      </w:r>
      <w:r w:rsidR="0082016B" w:rsidRPr="00D9232D">
        <w:rPr>
          <w:sz w:val="24"/>
          <w:szCs w:val="24"/>
          <w:lang w:val="en-GB"/>
        </w:rPr>
        <w:t>2</w:t>
      </w:r>
      <w:r w:rsidR="0056009F" w:rsidRPr="00D9232D">
        <w:rPr>
          <w:sz w:val="24"/>
          <w:szCs w:val="24"/>
          <w:lang w:val="en-GB"/>
        </w:rPr>
        <w:t xml:space="preserve"> countries </w:t>
      </w:r>
      <w:r w:rsidR="00667F1D" w:rsidRPr="00D9232D">
        <w:rPr>
          <w:sz w:val="24"/>
          <w:szCs w:val="24"/>
          <w:lang w:val="en-GB"/>
        </w:rPr>
        <w:t>from 7 different geographical areas is</w:t>
      </w:r>
      <w:r w:rsidR="0056009F" w:rsidRPr="00D9232D">
        <w:rPr>
          <w:sz w:val="24"/>
          <w:szCs w:val="24"/>
          <w:lang w:val="en-GB"/>
        </w:rPr>
        <w:t xml:space="preserve"> enough to </w:t>
      </w:r>
      <w:r w:rsidR="00667F1D" w:rsidRPr="00D9232D">
        <w:rPr>
          <w:sz w:val="24"/>
          <w:szCs w:val="24"/>
          <w:lang w:val="en-GB"/>
        </w:rPr>
        <w:t>confirm</w:t>
      </w:r>
      <w:r w:rsidR="0056009F" w:rsidRPr="00D9232D">
        <w:rPr>
          <w:sz w:val="24"/>
          <w:szCs w:val="24"/>
          <w:lang w:val="en-GB"/>
        </w:rPr>
        <w:t xml:space="preserve"> the</w:t>
      </w:r>
      <w:r w:rsidR="00667F1D" w:rsidRPr="00D9232D">
        <w:rPr>
          <w:sz w:val="24"/>
          <w:szCs w:val="24"/>
          <w:lang w:val="en-GB"/>
        </w:rPr>
        <w:t xml:space="preserve"> observed association.</w:t>
      </w:r>
      <w:r w:rsidR="0056009F" w:rsidRPr="00D9232D">
        <w:rPr>
          <w:sz w:val="24"/>
          <w:szCs w:val="24"/>
          <w:lang w:val="en-GB"/>
        </w:rPr>
        <w:t xml:space="preserve"> </w:t>
      </w:r>
      <w:bookmarkStart w:id="23" w:name="_Hlk76982632"/>
      <w:r w:rsidR="0071205B">
        <w:rPr>
          <w:sz w:val="24"/>
          <w:szCs w:val="24"/>
          <w:lang w:val="en-GB"/>
        </w:rPr>
        <w:t xml:space="preserve">However, we found a higher heterogeneity among categories of age for first exposure to Internet in the different geographical regions, </w:t>
      </w:r>
      <w:r w:rsidR="0071205B">
        <w:rPr>
          <w:sz w:val="24"/>
          <w:szCs w:val="24"/>
          <w:lang w:val="en-GB"/>
        </w:rPr>
        <w:lastRenderedPageBreak/>
        <w:t xml:space="preserve">which might strengthen the notion that differences regarding geographical regions are critical. </w:t>
      </w:r>
      <w:bookmarkEnd w:id="23"/>
      <w:r w:rsidRPr="00D9232D">
        <w:rPr>
          <w:sz w:val="24"/>
          <w:szCs w:val="24"/>
          <w:lang w:val="en-GB"/>
        </w:rPr>
        <w:t>Moreover, the scope of the findings is limited, and does not allow to analyse whether there is any type of digital device</w:t>
      </w:r>
      <w:r w:rsidR="003075F5" w:rsidRPr="00D9232D">
        <w:rPr>
          <w:sz w:val="24"/>
          <w:szCs w:val="24"/>
          <w:lang w:val="en-GB"/>
        </w:rPr>
        <w:t xml:space="preserve">, </w:t>
      </w:r>
      <w:r w:rsidRPr="00D9232D">
        <w:rPr>
          <w:sz w:val="24"/>
          <w:szCs w:val="24"/>
          <w:lang w:val="en-GB"/>
        </w:rPr>
        <w:t>content</w:t>
      </w:r>
      <w:r w:rsidR="003075F5" w:rsidRPr="00D9232D">
        <w:rPr>
          <w:sz w:val="24"/>
          <w:szCs w:val="24"/>
          <w:lang w:val="en-GB"/>
        </w:rPr>
        <w:t xml:space="preserve">, or an accurate year of initiation </w:t>
      </w:r>
      <w:r w:rsidR="00F33731" w:rsidRPr="00D9232D">
        <w:rPr>
          <w:sz w:val="24"/>
          <w:szCs w:val="24"/>
          <w:lang w:val="en-GB"/>
        </w:rPr>
        <w:t xml:space="preserve">associated with higher </w:t>
      </w:r>
      <w:r w:rsidR="002F6C76">
        <w:rPr>
          <w:sz w:val="24"/>
          <w:szCs w:val="24"/>
          <w:lang w:val="en-GB"/>
        </w:rPr>
        <w:t>consumption</w:t>
      </w:r>
      <w:r w:rsidR="00F33731" w:rsidRPr="00D9232D">
        <w:rPr>
          <w:sz w:val="24"/>
          <w:szCs w:val="24"/>
          <w:lang w:val="en-GB"/>
        </w:rPr>
        <w:t xml:space="preserve"> of the </w:t>
      </w:r>
      <w:r w:rsidR="00D9232D">
        <w:rPr>
          <w:sz w:val="24"/>
          <w:szCs w:val="24"/>
          <w:lang w:val="en-GB"/>
        </w:rPr>
        <w:t>Internet</w:t>
      </w:r>
      <w:r w:rsidR="003075F5" w:rsidRPr="00D9232D">
        <w:rPr>
          <w:sz w:val="24"/>
          <w:szCs w:val="24"/>
          <w:lang w:val="en-GB"/>
        </w:rPr>
        <w:t xml:space="preserve">. </w:t>
      </w:r>
      <w:bookmarkStart w:id="24" w:name="_Hlk76924707"/>
      <w:r w:rsidR="009D739B" w:rsidRPr="009D739B">
        <w:rPr>
          <w:sz w:val="24"/>
          <w:szCs w:val="24"/>
          <w:lang w:val="en-GB"/>
        </w:rPr>
        <w:t>Further research might discriminate usage that can be detrimental for health from usage that can be health-enhancing</w:t>
      </w:r>
      <w:r w:rsidR="00CF34F4">
        <w:rPr>
          <w:sz w:val="24"/>
          <w:szCs w:val="24"/>
          <w:lang w:val="en-GB"/>
        </w:rPr>
        <w:t>,</w:t>
      </w:r>
      <w:r w:rsidR="009D739B" w:rsidRPr="009D739B">
        <w:rPr>
          <w:sz w:val="24"/>
          <w:szCs w:val="24"/>
          <w:lang w:val="en-GB"/>
        </w:rPr>
        <w:t xml:space="preserve"> such as specific exposures to particular social networks that </w:t>
      </w:r>
      <w:r w:rsidR="00CF34F4">
        <w:rPr>
          <w:sz w:val="24"/>
          <w:szCs w:val="24"/>
          <w:lang w:val="en-GB"/>
        </w:rPr>
        <w:t>may</w:t>
      </w:r>
      <w:r w:rsidR="009D739B" w:rsidRPr="009D739B">
        <w:rPr>
          <w:sz w:val="24"/>
          <w:szCs w:val="24"/>
          <w:lang w:val="en-GB"/>
        </w:rPr>
        <w:t xml:space="preserve"> improve relevant dimensions of adolescents’ self-construction</w:t>
      </w:r>
      <w:r w:rsidR="009D739B">
        <w:rPr>
          <w:sz w:val="24"/>
          <w:szCs w:val="24"/>
          <w:lang w:val="en-GB"/>
        </w:rPr>
        <w:t xml:space="preserve"> </w:t>
      </w:r>
      <w:r w:rsidR="009D739B">
        <w:rPr>
          <w:sz w:val="24"/>
          <w:szCs w:val="24"/>
          <w:lang w:val="en-GB"/>
        </w:rPr>
        <w:fldChar w:fldCharType="begin" w:fldLock="1"/>
      </w:r>
      <w:r w:rsidR="009D739B">
        <w:rPr>
          <w:sz w:val="24"/>
          <w:szCs w:val="24"/>
          <w:lang w:val="en-GB"/>
        </w:rPr>
        <w:instrText>ADDIN CSL_CITATION {"citationItems":[{"id":"ITEM-1","itemData":{"DOI":"10.3390/ijerph17196952","ISSN":"16604601","PMID":"32977532","abstract":"In the last few years, Instagram has been a topic of much contention, as it has been shown to be associated with both risks and benefits for young users. This study explores the influence of the use of Instagram on adolescents’ constructions of self and interpersonal experience. Forty Italian adolescents aged between 11 and 16 years were interviewed and completed repertory grids. The results showed that the adolescents’ self-construction and distance from others were mostly influenced by receiving, or not receiving, positive feedback, rather than by using Instagram itself. Specifically, there was an increase in self-acceptance and social desirability after receiving a “like” and an increase in social isolation after receiving no “likes”. The regression model also showed a decrease in self-acceptance on Instagram in the case of female adolescents, and in participants who edited photos. These findings are useful for understanding the constant need for approval adolescents require today and could be used as a guiding tool for future studies and intervention policies. The present study offers an innovative methodology that refers to the relevant dimensions of adolescents’ self-construction rather than investigating the more general relationship between personality traits and social networks’ use.","author":[{"dropping-particle":"","family":"Cipolletta","given":"Sabrina","non-dropping-particle":"","parse-names":false,"suffix":""},{"dropping-particle":"","family":"Malighetti","given":"Clelia","non-dropping-particle":"","parse-names":false,"suffix":""},{"dropping-particle":"","family":"Cenedese","given":"Chiara","non-dropping-particle":"","parse-names":false,"suffix":""},{"dropping-particle":"","family":"Spoto","given":"Andrea","non-dropping-particle":"","parse-names":false,"suffix":""}],"container-title":"International Journal of Environmental Research and Public Health","id":"ITEM-1","issue":"19","issued":{"date-parts":[["2020"]]},"page":"1-15","title":"How can adolescents benefit from the use of social networks? The igeneration on instagram","type":"article-journal","volume":"17"},"uris":["http://www.mendeley.com/documents/?uuid=75100e4a-468b-4fc6-bf73-b9498af45da7"]}],"mendeley":{"formattedCitation":"[23]","plainTextFormattedCitation":"[23]"},"properties":{"noteIndex":0},"schema":"https://github.com/citation-style-language/schema/raw/master/csl-citation.json"}</w:instrText>
      </w:r>
      <w:r w:rsidR="009D739B">
        <w:rPr>
          <w:sz w:val="24"/>
          <w:szCs w:val="24"/>
          <w:lang w:val="en-GB"/>
        </w:rPr>
        <w:fldChar w:fldCharType="separate"/>
      </w:r>
      <w:r w:rsidR="009D739B" w:rsidRPr="009D739B">
        <w:rPr>
          <w:noProof/>
          <w:sz w:val="24"/>
          <w:szCs w:val="24"/>
          <w:lang w:val="en-GB"/>
        </w:rPr>
        <w:t>[23]</w:t>
      </w:r>
      <w:r w:rsidR="009D739B">
        <w:rPr>
          <w:sz w:val="24"/>
          <w:szCs w:val="24"/>
          <w:lang w:val="en-GB"/>
        </w:rPr>
        <w:fldChar w:fldCharType="end"/>
      </w:r>
      <w:r w:rsidR="009D739B" w:rsidRPr="009D739B">
        <w:rPr>
          <w:sz w:val="24"/>
          <w:szCs w:val="24"/>
          <w:lang w:val="en-GB"/>
        </w:rPr>
        <w:t xml:space="preserve">. </w:t>
      </w:r>
      <w:bookmarkEnd w:id="24"/>
      <w:r w:rsidR="0082016B" w:rsidRPr="00D9232D">
        <w:rPr>
          <w:sz w:val="24"/>
          <w:szCs w:val="24"/>
          <w:lang w:val="en-GB"/>
        </w:rPr>
        <w:t xml:space="preserve">Also, because there is little information regarding either low-income or African countries, generalizations over populations from countries with such features should be </w:t>
      </w:r>
      <w:r w:rsidR="003075F5" w:rsidRPr="00D9232D">
        <w:rPr>
          <w:sz w:val="24"/>
          <w:szCs w:val="24"/>
          <w:lang w:val="en-GB"/>
        </w:rPr>
        <w:t>cautiously made</w:t>
      </w:r>
      <w:r w:rsidR="0082016B" w:rsidRPr="00D9232D">
        <w:rPr>
          <w:sz w:val="24"/>
          <w:szCs w:val="24"/>
          <w:lang w:val="en-GB"/>
        </w:rPr>
        <w:t xml:space="preserve">. </w:t>
      </w:r>
      <w:bookmarkStart w:id="25" w:name="_Hlk76976880"/>
      <w:r w:rsidR="00F03F1B">
        <w:rPr>
          <w:sz w:val="24"/>
          <w:szCs w:val="24"/>
          <w:lang w:val="en-GB"/>
        </w:rPr>
        <w:t>Moreover, because Africa and America</w:t>
      </w:r>
      <w:r w:rsidR="009F7C4F">
        <w:rPr>
          <w:sz w:val="24"/>
          <w:szCs w:val="24"/>
          <w:lang w:val="en-GB"/>
        </w:rPr>
        <w:t>s</w:t>
      </w:r>
      <w:r w:rsidR="00F03F1B">
        <w:rPr>
          <w:sz w:val="24"/>
          <w:szCs w:val="24"/>
          <w:lang w:val="en-GB"/>
        </w:rPr>
        <w:t xml:space="preserve"> A regions are substantially less represented in the study (i.e., lower number of participants from a single country) results of these regions should </w:t>
      </w:r>
      <w:r w:rsidR="006B2ADE">
        <w:rPr>
          <w:sz w:val="24"/>
          <w:szCs w:val="24"/>
          <w:lang w:val="en-GB"/>
        </w:rPr>
        <w:t>be interpreted with caution</w:t>
      </w:r>
      <w:r w:rsidR="00F96FBB">
        <w:rPr>
          <w:sz w:val="24"/>
          <w:szCs w:val="24"/>
          <w:lang w:val="en-GB"/>
        </w:rPr>
        <w:t>.</w:t>
      </w:r>
      <w:bookmarkEnd w:id="25"/>
      <w:r w:rsidR="00F96FBB">
        <w:rPr>
          <w:sz w:val="24"/>
          <w:szCs w:val="24"/>
          <w:lang w:val="en-GB"/>
        </w:rPr>
        <w:t xml:space="preserve"> </w:t>
      </w:r>
      <w:r w:rsidR="0082016B" w:rsidRPr="00D9232D">
        <w:rPr>
          <w:sz w:val="24"/>
          <w:szCs w:val="24"/>
          <w:lang w:val="en-GB"/>
        </w:rPr>
        <w:t xml:space="preserve">Finally, because the current </w:t>
      </w:r>
      <w:r w:rsidR="0075793D" w:rsidRPr="00D9232D">
        <w:rPr>
          <w:sz w:val="24"/>
          <w:szCs w:val="24"/>
          <w:lang w:val="en-GB"/>
        </w:rPr>
        <w:t xml:space="preserve">Covid-19 pandemic is affecting lifestyles worldwide, habits concerning </w:t>
      </w:r>
      <w:r w:rsidR="00D9232D">
        <w:rPr>
          <w:sz w:val="24"/>
          <w:szCs w:val="24"/>
          <w:lang w:val="en-GB"/>
        </w:rPr>
        <w:t>Internet</w:t>
      </w:r>
      <w:r w:rsidR="0075793D" w:rsidRPr="00D9232D">
        <w:rPr>
          <w:sz w:val="24"/>
          <w:szCs w:val="24"/>
          <w:lang w:val="en-GB"/>
        </w:rPr>
        <w:t xml:space="preserve"> will have </w:t>
      </w:r>
      <w:r w:rsidR="00CF34F4">
        <w:rPr>
          <w:sz w:val="24"/>
          <w:szCs w:val="24"/>
          <w:lang w:val="en-GB"/>
        </w:rPr>
        <w:t>likely</w:t>
      </w:r>
      <w:r w:rsidR="00CF34F4" w:rsidRPr="00D9232D">
        <w:rPr>
          <w:sz w:val="24"/>
          <w:szCs w:val="24"/>
          <w:lang w:val="en-GB"/>
        </w:rPr>
        <w:t xml:space="preserve"> </w:t>
      </w:r>
      <w:r w:rsidR="0075793D" w:rsidRPr="00D9232D">
        <w:rPr>
          <w:sz w:val="24"/>
          <w:szCs w:val="24"/>
          <w:lang w:val="en-GB"/>
        </w:rPr>
        <w:t xml:space="preserve">changed over this period, probably increasing the use of </w:t>
      </w:r>
      <w:r w:rsidR="00D9232D">
        <w:rPr>
          <w:sz w:val="24"/>
          <w:szCs w:val="24"/>
          <w:lang w:val="en-GB"/>
        </w:rPr>
        <w:t>Internet</w:t>
      </w:r>
      <w:r w:rsidR="0075793D" w:rsidRPr="00D9232D">
        <w:rPr>
          <w:sz w:val="24"/>
          <w:szCs w:val="24"/>
          <w:lang w:val="en-GB"/>
        </w:rPr>
        <w:t xml:space="preserve"> among adolescents</w:t>
      </w:r>
      <w:r w:rsidR="00E9107F">
        <w:rPr>
          <w:sz w:val="24"/>
          <w:szCs w:val="24"/>
          <w:lang w:val="en-GB"/>
        </w:rPr>
        <w:t xml:space="preserve"> </w:t>
      </w:r>
      <w:r w:rsidR="0075793D" w:rsidRPr="00D9232D">
        <w:rPr>
          <w:sz w:val="24"/>
          <w:szCs w:val="24"/>
          <w:lang w:val="en-GB"/>
        </w:rPr>
        <w:fldChar w:fldCharType="begin" w:fldLock="1"/>
      </w:r>
      <w:r w:rsidR="009D739B">
        <w:rPr>
          <w:sz w:val="24"/>
          <w:szCs w:val="24"/>
          <w:lang w:val="en-GB"/>
        </w:rPr>
        <w:instrText>ADDIN CSL_CITATION {"citationItems":[{"id":"ITEM-1","itemData":{"DOI":"10.3389/fpsyt.2020.00751","ISSN":"16640640","abstract":"Background: The Coronavirus disease 2019 (COVID-19) is an infectious disease presenting a major threat to public health. This study aims to assess Internet use characteristics and objectively examine the potential psychological factors associated with Internet addiction (IA) during the COVID-19 epidemic. Methods: A cross-sectional, anonymized, self-reported survey was conducted among Chinese children and adolescents aged 6 to 18 years old. Participants completed questionnaires containing Young’s Internet Addiction Test (IAT) and the Depression, Anxiety, and Stress Scale (DASS-21), and questions regarding demographic information and Internet use characteristics. Results: A total of 2050 participants (mean age:12.34 ± 4.67 years old, female: 48.44%) were enrolled. Fifty-five (2.68%) participants met the criterion for addictive Internet use (IAT≥70), while 684 (33.37%) participants were classified as problematic Internet users (69≥IAT≥40). Internet usage had grown during the COVID-19 epidemic, including the frequency and duration of recreational Internet use, and the frequency of stay-up Internet use. A linear regression analysis showed female gender (β=-0.091, p&lt;0.001), age (β=0.066, p=0.001), depression (β=0.257, p&lt;0.001), and stress (β=0.323, p&lt;0.001) were significantly correlated with the IAT total scores (R=0.539, R2 = 0.291, p&lt;0.001). Conclusions: We observed excessive Internet use among Chinese children and adolescents during the outbreak of COVID-19. Age, gender, depression, and stress were the potential key factors affecting IA. Extended family and professional support should be considered for vulnerable individuals during these unprecedented times.","author":[{"dropping-particle":"","family":"Dong","given":"Huixi","non-dropping-particle":"","parse-names":false,"suffix":""},{"dropping-particle":"","family":"Yang","given":"Fangru","non-dropping-particle":"","parse-names":false,"suffix":""},{"dropping-particle":"","family":"Lu","given":"Xiaozi","non-dropping-particle":"","parse-names":false,"suffix":""},{"dropping-particle":"","family":"Hao","given":"Wei","non-dropping-particle":"","parse-names":false,"suffix":""}],"container-title":"Frontiers in Psychiatry","id":"ITEM-1","issue":"September","issued":{"date-parts":[["2020"]]},"page":"1-9","title":"Internet Addiction and Related Psychological Factors Among Children and Adolescents in China During the Coronavirus Disease 2019 (COVID-19) Epidemic","type":"article-journal","volume":"11"},"uris":["http://www.mendeley.com/documents/?uuid=8bd00c9b-9463-429b-aae1-3750e87f8408"]}],"mendeley":{"formattedCitation":"[24]","plainTextFormattedCitation":"[24]","previouslyFormattedCitation":"[23]"},"properties":{"noteIndex":0},"schema":"https://github.com/citation-style-language/schema/raw/master/csl-citation.json"}</w:instrText>
      </w:r>
      <w:r w:rsidR="0075793D" w:rsidRPr="00D9232D">
        <w:rPr>
          <w:sz w:val="24"/>
          <w:szCs w:val="24"/>
          <w:lang w:val="en-GB"/>
        </w:rPr>
        <w:fldChar w:fldCharType="separate"/>
      </w:r>
      <w:r w:rsidR="009D739B" w:rsidRPr="009D739B">
        <w:rPr>
          <w:noProof/>
          <w:sz w:val="24"/>
          <w:szCs w:val="24"/>
          <w:lang w:val="en-GB"/>
        </w:rPr>
        <w:t>[24]</w:t>
      </w:r>
      <w:r w:rsidR="0075793D" w:rsidRPr="00D9232D">
        <w:rPr>
          <w:sz w:val="24"/>
          <w:szCs w:val="24"/>
          <w:lang w:val="en-GB"/>
        </w:rPr>
        <w:fldChar w:fldCharType="end"/>
      </w:r>
      <w:r w:rsidR="00E9107F">
        <w:rPr>
          <w:sz w:val="24"/>
          <w:szCs w:val="24"/>
          <w:lang w:val="en-GB"/>
        </w:rPr>
        <w:t xml:space="preserve">. </w:t>
      </w:r>
    </w:p>
    <w:p w14:paraId="71530330" w14:textId="3C9DB0E5" w:rsidR="00846B1A" w:rsidRPr="00846B1A" w:rsidRDefault="00846B1A" w:rsidP="00BC4811">
      <w:pPr>
        <w:pStyle w:val="Heading1"/>
      </w:pPr>
      <w:r w:rsidRPr="00846B1A">
        <w:t>Conclusion</w:t>
      </w:r>
    </w:p>
    <w:p w14:paraId="00E2678B" w14:textId="50C317A5" w:rsidR="004E289D" w:rsidRPr="0034032B" w:rsidRDefault="00A6795C" w:rsidP="004E289D">
      <w:pPr>
        <w:spacing w:line="480" w:lineRule="auto"/>
        <w:rPr>
          <w:sz w:val="24"/>
          <w:szCs w:val="24"/>
          <w:lang w:val="en-GB"/>
        </w:rPr>
      </w:pPr>
      <w:r w:rsidRPr="00D9232D">
        <w:rPr>
          <w:sz w:val="24"/>
          <w:szCs w:val="24"/>
          <w:lang w:val="en-GB"/>
        </w:rPr>
        <w:t xml:space="preserve">Adolescents whose </w:t>
      </w:r>
      <w:r w:rsidR="00442540">
        <w:rPr>
          <w:sz w:val="24"/>
          <w:szCs w:val="24"/>
          <w:lang w:val="en-GB"/>
        </w:rPr>
        <w:t>age of first exposure</w:t>
      </w:r>
      <w:r w:rsidR="005749DB">
        <w:rPr>
          <w:sz w:val="24"/>
          <w:szCs w:val="24"/>
          <w:lang w:val="en-GB"/>
        </w:rPr>
        <w:t xml:space="preserve"> </w:t>
      </w:r>
      <w:r w:rsidR="00442540">
        <w:rPr>
          <w:sz w:val="24"/>
          <w:szCs w:val="24"/>
          <w:lang w:val="en-GB"/>
        </w:rPr>
        <w:t>to</w:t>
      </w:r>
      <w:r w:rsidRPr="00D9232D">
        <w:rPr>
          <w:sz w:val="24"/>
          <w:szCs w:val="24"/>
          <w:lang w:val="en-GB"/>
        </w:rPr>
        <w:t xml:space="preserve"> </w:t>
      </w:r>
      <w:proofErr w:type="gramStart"/>
      <w:r w:rsidR="00D9232D">
        <w:rPr>
          <w:sz w:val="24"/>
          <w:szCs w:val="24"/>
          <w:lang w:val="en-GB"/>
        </w:rPr>
        <w:t>Internet</w:t>
      </w:r>
      <w:r w:rsidRPr="00D9232D">
        <w:rPr>
          <w:sz w:val="24"/>
          <w:szCs w:val="24"/>
          <w:lang w:val="en-GB"/>
        </w:rPr>
        <w:t xml:space="preserve"> </w:t>
      </w:r>
      <w:r w:rsidR="005749DB">
        <w:rPr>
          <w:sz w:val="24"/>
          <w:szCs w:val="24"/>
          <w:lang w:val="en-GB"/>
        </w:rPr>
        <w:t xml:space="preserve"> </w:t>
      </w:r>
      <w:r w:rsidRPr="00D9232D">
        <w:rPr>
          <w:sz w:val="24"/>
          <w:szCs w:val="24"/>
          <w:lang w:val="en-GB"/>
        </w:rPr>
        <w:t>was</w:t>
      </w:r>
      <w:proofErr w:type="gramEnd"/>
      <w:r w:rsidRPr="00D9232D">
        <w:rPr>
          <w:sz w:val="24"/>
          <w:szCs w:val="24"/>
          <w:lang w:val="en-GB"/>
        </w:rPr>
        <w:t xml:space="preserve"> </w:t>
      </w:r>
      <w:r w:rsidR="00C4781C">
        <w:rPr>
          <w:rFonts w:cstheme="minorHAnsi"/>
          <w:sz w:val="24"/>
          <w:szCs w:val="24"/>
          <w:lang w:val="en-GB"/>
        </w:rPr>
        <w:t>≤</w:t>
      </w:r>
      <w:r w:rsidR="002D54D1">
        <w:rPr>
          <w:rFonts w:cstheme="minorHAnsi"/>
          <w:sz w:val="24"/>
          <w:szCs w:val="24"/>
          <w:lang w:val="en-GB"/>
        </w:rPr>
        <w:t xml:space="preserve"> </w:t>
      </w:r>
      <w:r w:rsidRPr="00D9232D">
        <w:rPr>
          <w:sz w:val="24"/>
          <w:szCs w:val="24"/>
          <w:lang w:val="en-GB"/>
        </w:rPr>
        <w:t xml:space="preserve">9 years exhibited significant higher odds for heavy use of the </w:t>
      </w:r>
      <w:r w:rsidR="00D9232D">
        <w:rPr>
          <w:sz w:val="24"/>
          <w:szCs w:val="24"/>
          <w:lang w:val="en-GB"/>
        </w:rPr>
        <w:t>Internet</w:t>
      </w:r>
      <w:r w:rsidR="00161F2D" w:rsidRPr="00D9232D">
        <w:rPr>
          <w:sz w:val="24"/>
          <w:szCs w:val="24"/>
          <w:lang w:val="en-GB"/>
        </w:rPr>
        <w:t xml:space="preserve"> </w:t>
      </w:r>
      <w:r w:rsidRPr="00D9232D">
        <w:rPr>
          <w:sz w:val="24"/>
          <w:szCs w:val="24"/>
          <w:lang w:val="en-GB"/>
        </w:rPr>
        <w:t>during weekends</w:t>
      </w:r>
      <w:r w:rsidR="00161F2D" w:rsidRPr="00D9232D">
        <w:rPr>
          <w:sz w:val="24"/>
          <w:szCs w:val="24"/>
          <w:lang w:val="en-GB"/>
        </w:rPr>
        <w:t xml:space="preserve">, </w:t>
      </w:r>
      <w:r w:rsidRPr="00D9232D">
        <w:rPr>
          <w:sz w:val="24"/>
          <w:szCs w:val="24"/>
          <w:lang w:val="en-GB"/>
        </w:rPr>
        <w:t>weekdays</w:t>
      </w:r>
      <w:r w:rsidR="00161F2D" w:rsidRPr="00D9232D">
        <w:rPr>
          <w:sz w:val="24"/>
          <w:szCs w:val="24"/>
          <w:lang w:val="en-GB"/>
        </w:rPr>
        <w:t>, and school time, although the latter was weaker</w:t>
      </w:r>
      <w:r w:rsidRPr="00D9232D">
        <w:rPr>
          <w:sz w:val="24"/>
          <w:szCs w:val="24"/>
          <w:lang w:val="en-GB"/>
        </w:rPr>
        <w:t xml:space="preserve">. This association was stronger in adolescents from </w:t>
      </w:r>
      <w:r w:rsidR="00161F2D" w:rsidRPr="00D9232D">
        <w:rPr>
          <w:sz w:val="24"/>
          <w:szCs w:val="24"/>
          <w:lang w:val="en-GB"/>
        </w:rPr>
        <w:t xml:space="preserve">America B/C and Eastern Mediterranean countries, who might experience less parental control outside school than those from other geographical regions. </w:t>
      </w:r>
      <w:r w:rsidR="003075F5" w:rsidRPr="00D9232D">
        <w:rPr>
          <w:sz w:val="24"/>
          <w:szCs w:val="24"/>
          <w:lang w:val="en-GB"/>
        </w:rPr>
        <w:t xml:space="preserve">To avoid </w:t>
      </w:r>
      <w:r w:rsidR="00F27503">
        <w:rPr>
          <w:sz w:val="24"/>
          <w:szCs w:val="24"/>
          <w:lang w:val="en-GB"/>
        </w:rPr>
        <w:t xml:space="preserve">excessive Internet usage </w:t>
      </w:r>
      <w:r w:rsidR="003075F5" w:rsidRPr="00D9232D">
        <w:rPr>
          <w:sz w:val="24"/>
          <w:szCs w:val="24"/>
          <w:lang w:val="en-GB"/>
        </w:rPr>
        <w:t xml:space="preserve">as well as to </w:t>
      </w:r>
      <w:r w:rsidR="00F27503">
        <w:rPr>
          <w:sz w:val="24"/>
          <w:szCs w:val="24"/>
          <w:lang w:val="en-GB"/>
        </w:rPr>
        <w:t>inform</w:t>
      </w:r>
      <w:r w:rsidR="00F27503" w:rsidRPr="00D9232D">
        <w:rPr>
          <w:sz w:val="24"/>
          <w:szCs w:val="24"/>
          <w:lang w:val="en-GB"/>
        </w:rPr>
        <w:t xml:space="preserve"> </w:t>
      </w:r>
      <w:r w:rsidR="003075F5" w:rsidRPr="00D9232D">
        <w:rPr>
          <w:sz w:val="24"/>
          <w:szCs w:val="24"/>
          <w:lang w:val="en-GB"/>
        </w:rPr>
        <w:t xml:space="preserve">preventive strategies, future research </w:t>
      </w:r>
      <w:r w:rsidR="00F27503">
        <w:rPr>
          <w:sz w:val="24"/>
          <w:szCs w:val="24"/>
          <w:lang w:val="en-GB"/>
        </w:rPr>
        <w:t xml:space="preserve">examining </w:t>
      </w:r>
      <w:r w:rsidR="003075F5" w:rsidRPr="00D9232D">
        <w:rPr>
          <w:sz w:val="24"/>
          <w:szCs w:val="24"/>
          <w:lang w:val="en-GB"/>
        </w:rPr>
        <w:t xml:space="preserve">the causes underpinning the association between </w:t>
      </w:r>
      <w:r w:rsidR="00442540">
        <w:rPr>
          <w:sz w:val="24"/>
          <w:szCs w:val="24"/>
          <w:lang w:val="en-GB"/>
        </w:rPr>
        <w:t>age of first exposure</w:t>
      </w:r>
      <w:r w:rsidR="003075F5" w:rsidRPr="00D9232D">
        <w:rPr>
          <w:sz w:val="24"/>
          <w:szCs w:val="24"/>
          <w:lang w:val="en-GB"/>
        </w:rPr>
        <w:t xml:space="preserve"> and heavy use of the </w:t>
      </w:r>
      <w:r w:rsidR="00D9232D">
        <w:rPr>
          <w:sz w:val="24"/>
          <w:szCs w:val="24"/>
          <w:lang w:val="en-GB"/>
        </w:rPr>
        <w:t>Internet</w:t>
      </w:r>
      <w:r w:rsidR="003075F5" w:rsidRPr="00D9232D">
        <w:rPr>
          <w:sz w:val="24"/>
          <w:szCs w:val="24"/>
          <w:lang w:val="en-GB"/>
        </w:rPr>
        <w:t xml:space="preserve"> is warranted.</w:t>
      </w:r>
    </w:p>
    <w:p w14:paraId="390D0FC9" w14:textId="08AADFB8" w:rsidR="00A213BA" w:rsidRPr="00D9232D" w:rsidRDefault="00D9232D" w:rsidP="00BC4811">
      <w:pPr>
        <w:pStyle w:val="Heading1"/>
      </w:pPr>
      <w:r w:rsidRPr="00D9232D">
        <w:lastRenderedPageBreak/>
        <w:t>References</w:t>
      </w:r>
    </w:p>
    <w:p w14:paraId="0FE140A9" w14:textId="13C28453" w:rsidR="009D739B" w:rsidRPr="007115FD" w:rsidRDefault="00D9232D" w:rsidP="009D739B">
      <w:pPr>
        <w:widowControl w:val="0"/>
        <w:autoSpaceDE w:val="0"/>
        <w:autoSpaceDN w:val="0"/>
        <w:adjustRightInd w:val="0"/>
        <w:spacing w:line="480" w:lineRule="auto"/>
        <w:ind w:left="640" w:hanging="640"/>
        <w:rPr>
          <w:rFonts w:ascii="Calibri" w:hAnsi="Calibri" w:cs="Calibri"/>
          <w:noProof/>
          <w:sz w:val="24"/>
          <w:szCs w:val="24"/>
          <w:lang w:val="en-GB"/>
        </w:rPr>
      </w:pPr>
      <w:r>
        <w:rPr>
          <w:sz w:val="24"/>
          <w:szCs w:val="24"/>
          <w:lang w:val="en-GB"/>
        </w:rPr>
        <w:fldChar w:fldCharType="begin" w:fldLock="1"/>
      </w:r>
      <w:r>
        <w:rPr>
          <w:sz w:val="24"/>
          <w:szCs w:val="24"/>
          <w:lang w:val="en-GB"/>
        </w:rPr>
        <w:instrText xml:space="preserve">ADDIN Mendeley Bibliography CSL_BIBLIOGRAPHY </w:instrText>
      </w:r>
      <w:r>
        <w:rPr>
          <w:sz w:val="24"/>
          <w:szCs w:val="24"/>
          <w:lang w:val="en-GB"/>
        </w:rPr>
        <w:fldChar w:fldCharType="separate"/>
      </w:r>
      <w:r w:rsidR="009D739B" w:rsidRPr="007115FD">
        <w:rPr>
          <w:rFonts w:ascii="Calibri" w:hAnsi="Calibri" w:cs="Calibri"/>
          <w:noProof/>
          <w:sz w:val="24"/>
          <w:szCs w:val="24"/>
          <w:lang w:val="en-GB"/>
        </w:rPr>
        <w:t xml:space="preserve">1. </w:t>
      </w:r>
      <w:r w:rsidR="009D739B" w:rsidRPr="007115FD">
        <w:rPr>
          <w:rFonts w:ascii="Calibri" w:hAnsi="Calibri" w:cs="Calibri"/>
          <w:noProof/>
          <w:sz w:val="24"/>
          <w:szCs w:val="24"/>
          <w:lang w:val="en-GB"/>
        </w:rPr>
        <w:tab/>
        <w:t>Twenge JM, Martin GN, Spitzberg BH (2018) Trends in U.S. Adolescents’ Media Use, 1976-2016: The Rise of Digital Media, the Decline of TV, and the (Near) Demise of Print. Psychol Pop Media Cult 8:329–345. https://doi.org/10.1037/ppm0000203</w:t>
      </w:r>
    </w:p>
    <w:p w14:paraId="4F7A5448"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2. </w:t>
      </w:r>
      <w:r w:rsidRPr="007115FD">
        <w:rPr>
          <w:rFonts w:ascii="Calibri" w:hAnsi="Calibri" w:cs="Calibri"/>
          <w:noProof/>
          <w:sz w:val="24"/>
          <w:szCs w:val="24"/>
          <w:lang w:val="en-GB"/>
        </w:rPr>
        <w:tab/>
        <w:t>Moreno MA, Jelenchick L, Cox E, et al (2011) Problematic internet use among US youth: A systematic review. Arch Pediatr Adolesc Med 165:797–805. https://doi.org/10.1001/archpediatrics.2011.58</w:t>
      </w:r>
    </w:p>
    <w:p w14:paraId="23003389"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3. </w:t>
      </w:r>
      <w:r w:rsidRPr="007115FD">
        <w:rPr>
          <w:rFonts w:ascii="Calibri" w:hAnsi="Calibri" w:cs="Calibri"/>
          <w:noProof/>
          <w:sz w:val="24"/>
          <w:szCs w:val="24"/>
          <w:lang w:val="en-GB"/>
        </w:rPr>
        <w:tab/>
        <w:t>Anderson EL, Steen E, Stavropoulos V (2017) Internet use and Problematic Internet Use: a systematic review of longitudinal research trends in adolescence and emergent adulthood. Int J Adolesc Youth 22:430–454. https://doi.org/10.1080/02673843.2016.1227716</w:t>
      </w:r>
    </w:p>
    <w:p w14:paraId="59C5DF64"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4. </w:t>
      </w:r>
      <w:r w:rsidRPr="007115FD">
        <w:rPr>
          <w:rFonts w:ascii="Calibri" w:hAnsi="Calibri" w:cs="Calibri"/>
          <w:noProof/>
          <w:sz w:val="24"/>
          <w:szCs w:val="24"/>
          <w:lang w:val="en-GB"/>
        </w:rPr>
        <w:tab/>
        <w:t>Lam LT, Peng Z-W (2010) Effect of Pathological Use of the Internet on Adolescent Mental Health. Arch Pediatr Adolesc Med 164:901–906. https://doi.org/10.1001/archpediatrics.2010.159</w:t>
      </w:r>
    </w:p>
    <w:p w14:paraId="1717EA41"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5. </w:t>
      </w:r>
      <w:r w:rsidRPr="007115FD">
        <w:rPr>
          <w:rFonts w:ascii="Calibri" w:hAnsi="Calibri" w:cs="Calibri"/>
          <w:noProof/>
          <w:sz w:val="24"/>
          <w:szCs w:val="24"/>
          <w:lang w:val="en-GB"/>
        </w:rPr>
        <w:tab/>
        <w:t>El Asam A, Samara M, Terry P (2019) Problematic internet use and mental health among British children and adolescents. Addict Behav 90:428–436. https://doi.org/10.1016/j.addbeh.2018.09.007</w:t>
      </w:r>
    </w:p>
    <w:p w14:paraId="0B827ACF"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6. </w:t>
      </w:r>
      <w:r w:rsidRPr="007115FD">
        <w:rPr>
          <w:rFonts w:ascii="Calibri" w:hAnsi="Calibri" w:cs="Calibri"/>
          <w:noProof/>
          <w:sz w:val="24"/>
          <w:szCs w:val="24"/>
          <w:lang w:val="en-GB"/>
        </w:rPr>
        <w:tab/>
        <w:t>Brunborg GS, Burdzovic Andreas J (2019) Increase in time spent on social media is associated with modest increase in depression, conduct problems, and episodic heavy drinking. J Adolesc 74:201–209. https://doi.org/10.1016/j.adolescence.2019.06.013</w:t>
      </w:r>
    </w:p>
    <w:p w14:paraId="27AE1DB5"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lastRenderedPageBreak/>
        <w:t xml:space="preserve">7. </w:t>
      </w:r>
      <w:r w:rsidRPr="007115FD">
        <w:rPr>
          <w:rFonts w:ascii="Calibri" w:hAnsi="Calibri" w:cs="Calibri"/>
          <w:noProof/>
          <w:sz w:val="24"/>
          <w:szCs w:val="24"/>
          <w:lang w:val="en-GB"/>
        </w:rPr>
        <w:tab/>
        <w:t>Orben A (2020) Teenagers, screens and social media: a narrative review of reviews and key studies. Soc Psychiatry Psychiatr Epidemiol 55:407–414. https://doi.org/10.1007/s00127-019-01825-4</w:t>
      </w:r>
    </w:p>
    <w:p w14:paraId="5DB67FAB"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8. </w:t>
      </w:r>
      <w:r w:rsidRPr="007115FD">
        <w:rPr>
          <w:rFonts w:ascii="Calibri" w:hAnsi="Calibri" w:cs="Calibri"/>
          <w:noProof/>
          <w:sz w:val="24"/>
          <w:szCs w:val="24"/>
          <w:lang w:val="en-GB"/>
        </w:rPr>
        <w:tab/>
        <w:t>Cassidy-Bushrow AE, Johnson DA, Peters RM, et al (2015) Time Spent on the Internet and Adolescent Blood Pressure. J Sch Nurs 31:374–384. https://doi.org/10.1177/1059840514556772</w:t>
      </w:r>
    </w:p>
    <w:p w14:paraId="3D4CB7EF"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9. </w:t>
      </w:r>
      <w:r w:rsidRPr="007115FD">
        <w:rPr>
          <w:rFonts w:ascii="Calibri" w:hAnsi="Calibri" w:cs="Calibri"/>
          <w:noProof/>
          <w:sz w:val="24"/>
          <w:szCs w:val="24"/>
          <w:lang w:val="en-GB"/>
        </w:rPr>
        <w:tab/>
        <w:t>Barrense-Dias Y, Berchtold A, Akre C, Surís JC (2016) The relation between internet use and overweight among adolescents: A longitudinal study in Switzerland. Int J Obes 40:45–50. https://doi.org/10.1038/ijo.2015.146</w:t>
      </w:r>
    </w:p>
    <w:p w14:paraId="43392C7B"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10. </w:t>
      </w:r>
      <w:r w:rsidRPr="007115FD">
        <w:rPr>
          <w:rFonts w:ascii="Calibri" w:hAnsi="Calibri" w:cs="Calibri"/>
          <w:noProof/>
          <w:sz w:val="24"/>
          <w:szCs w:val="24"/>
          <w:lang w:val="en-GB"/>
        </w:rPr>
        <w:tab/>
        <w:t>Rey-López JP, Vicente-Rodriguez G, Ortega FB, et al (2010) Sedentary patterns and media availability in European adolescents: The HELENA study. Prev Med (Baltim) 51:50–55. https://doi.org/10.1016/j.ypmed.2010.03.013</w:t>
      </w:r>
    </w:p>
    <w:p w14:paraId="036C50AA"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11. </w:t>
      </w:r>
      <w:r w:rsidRPr="007115FD">
        <w:rPr>
          <w:rFonts w:ascii="Calibri" w:hAnsi="Calibri" w:cs="Calibri"/>
          <w:noProof/>
          <w:sz w:val="24"/>
          <w:szCs w:val="24"/>
          <w:lang w:val="en-GB"/>
        </w:rPr>
        <w:tab/>
        <w:t>Beard CL, Haas AL, Wickham RE, Stavropoulos V (2017) Age of Initiation and Internet Gaming Disorder: The Role of Self-Esteem. Cyberpsychology, Behav Soc Netw 20:397–401. https://doi.org/10.1089/cyber.2017.0011</w:t>
      </w:r>
    </w:p>
    <w:p w14:paraId="6D5F4566"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12. </w:t>
      </w:r>
      <w:r w:rsidRPr="007115FD">
        <w:rPr>
          <w:rFonts w:ascii="Calibri" w:hAnsi="Calibri" w:cs="Calibri"/>
          <w:noProof/>
          <w:sz w:val="24"/>
          <w:szCs w:val="24"/>
          <w:lang w:val="en-GB"/>
        </w:rPr>
        <w:tab/>
        <w:t>Wang TH, Cheng HY (2019) Problematic Internet use among elementary school students: prevalence and risk factors. Inf Commun Soc 0:1–22. https://doi.org/10.1080/1369118X.2019.1645192</w:t>
      </w:r>
    </w:p>
    <w:p w14:paraId="7AF64A5E"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13. </w:t>
      </w:r>
      <w:r w:rsidRPr="007115FD">
        <w:rPr>
          <w:rFonts w:ascii="Calibri" w:hAnsi="Calibri" w:cs="Calibri"/>
          <w:noProof/>
          <w:sz w:val="24"/>
          <w:szCs w:val="24"/>
          <w:lang w:val="en-GB"/>
        </w:rPr>
        <w:tab/>
        <w:t>Organisation for Economic Co-operation and Development (2018) PISA 2018 Technical Report. Paris</w:t>
      </w:r>
    </w:p>
    <w:p w14:paraId="55900324"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14. </w:t>
      </w:r>
      <w:r w:rsidRPr="007115FD">
        <w:rPr>
          <w:rFonts w:ascii="Calibri" w:hAnsi="Calibri" w:cs="Calibri"/>
          <w:noProof/>
          <w:sz w:val="24"/>
          <w:szCs w:val="24"/>
          <w:lang w:val="en-GB"/>
        </w:rPr>
        <w:tab/>
        <w:t xml:space="preserve">World Health Organization Cost effectiveness and strategic planning (WHO-CHOICE). https://www.who.int/choice/demography/euro_region/en/. Accessed </w:t>
      </w:r>
      <w:r w:rsidRPr="007115FD">
        <w:rPr>
          <w:rFonts w:ascii="Calibri" w:hAnsi="Calibri" w:cs="Calibri"/>
          <w:noProof/>
          <w:sz w:val="24"/>
          <w:szCs w:val="24"/>
          <w:lang w:val="en-GB"/>
        </w:rPr>
        <w:lastRenderedPageBreak/>
        <w:t>10 Jan 2020</w:t>
      </w:r>
    </w:p>
    <w:p w14:paraId="10D553D3"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15. </w:t>
      </w:r>
      <w:r w:rsidRPr="007115FD">
        <w:rPr>
          <w:rFonts w:ascii="Calibri" w:hAnsi="Calibri" w:cs="Calibri"/>
          <w:noProof/>
          <w:sz w:val="24"/>
          <w:szCs w:val="24"/>
          <w:lang w:val="en-GB"/>
        </w:rPr>
        <w:tab/>
        <w:t>von Elm E, Altman DG, Egger M, et al (2008) The Strengthening the Reporting of Observational Studies in Epidemiology (STROBE) statement: guidelines for reporting observational studies. J Clin Epidemiol 61:344–349. https://doi.org/10.1016/j.jclinepi.2007.11.008</w:t>
      </w:r>
    </w:p>
    <w:p w14:paraId="62FD6DAA"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bookmarkStart w:id="26" w:name="_Hlk76997195"/>
      <w:r w:rsidRPr="007115FD">
        <w:rPr>
          <w:rFonts w:ascii="Calibri" w:hAnsi="Calibri" w:cs="Calibri"/>
          <w:noProof/>
          <w:sz w:val="24"/>
          <w:szCs w:val="24"/>
          <w:lang w:val="en-GB"/>
        </w:rPr>
        <w:t xml:space="preserve">16. </w:t>
      </w:r>
      <w:r w:rsidRPr="007115FD">
        <w:rPr>
          <w:rFonts w:ascii="Calibri" w:hAnsi="Calibri" w:cs="Calibri"/>
          <w:noProof/>
          <w:sz w:val="24"/>
          <w:szCs w:val="24"/>
          <w:lang w:val="en-GB"/>
        </w:rPr>
        <w:tab/>
        <w:t>Belanger RE, Akre C, Berchtold A, Michaud P-A (2011) A U-Shaped Association Between Intensity of Internet Use and Adolescent Health. Pediatrics 127:e330–e335. https://doi.org/10.1542/peds.2010-1235</w:t>
      </w:r>
    </w:p>
    <w:bookmarkEnd w:id="26"/>
    <w:p w14:paraId="2F64EC73"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17. </w:t>
      </w:r>
      <w:r w:rsidRPr="007115FD">
        <w:rPr>
          <w:rFonts w:ascii="Calibri" w:hAnsi="Calibri" w:cs="Calibri"/>
          <w:noProof/>
          <w:sz w:val="24"/>
          <w:szCs w:val="24"/>
          <w:lang w:val="en-GB"/>
        </w:rPr>
        <w:tab/>
        <w:t>Camerini AL, Schulz PJ, Jeannet AM (2018) The social inequalities of Internet access, its use, and the impact on children’s academic performance: Evidence from a longitudinal study in Switzerland. New Media Soc 20:2489–2508. https://doi.org/10.1177/1461444817725918</w:t>
      </w:r>
    </w:p>
    <w:p w14:paraId="4DCFBB83" w14:textId="77777777" w:rsidR="009D739B" w:rsidRPr="009D739B" w:rsidRDefault="009D739B" w:rsidP="009D739B">
      <w:pPr>
        <w:widowControl w:val="0"/>
        <w:autoSpaceDE w:val="0"/>
        <w:autoSpaceDN w:val="0"/>
        <w:adjustRightInd w:val="0"/>
        <w:spacing w:line="480" w:lineRule="auto"/>
        <w:ind w:left="640" w:hanging="640"/>
        <w:rPr>
          <w:rFonts w:ascii="Calibri" w:hAnsi="Calibri" w:cs="Calibri"/>
          <w:noProof/>
          <w:sz w:val="24"/>
          <w:szCs w:val="24"/>
        </w:rPr>
      </w:pPr>
      <w:r w:rsidRPr="007115FD">
        <w:rPr>
          <w:rFonts w:ascii="Calibri" w:hAnsi="Calibri" w:cs="Calibri"/>
          <w:noProof/>
          <w:sz w:val="24"/>
          <w:szCs w:val="24"/>
          <w:lang w:val="en-GB"/>
        </w:rPr>
        <w:t xml:space="preserve">18. </w:t>
      </w:r>
      <w:r w:rsidRPr="007115FD">
        <w:rPr>
          <w:rFonts w:ascii="Calibri" w:hAnsi="Calibri" w:cs="Calibri"/>
          <w:noProof/>
          <w:sz w:val="24"/>
          <w:szCs w:val="24"/>
          <w:lang w:val="en-GB"/>
        </w:rPr>
        <w:tab/>
        <w:t xml:space="preserve">Martins MV, Formiga A, Santos C, et al (2020) Adolescent internet addiction – role of parental control and adolescent behaviours. </w:t>
      </w:r>
      <w:r w:rsidRPr="009D739B">
        <w:rPr>
          <w:rFonts w:ascii="Calibri" w:hAnsi="Calibri" w:cs="Calibri"/>
          <w:noProof/>
          <w:sz w:val="24"/>
          <w:szCs w:val="24"/>
        </w:rPr>
        <w:t>Int J Pediatr Adolesc Med 7:116–120. https://doi.org/10.1016/j.ijpam.2019.12.003</w:t>
      </w:r>
    </w:p>
    <w:p w14:paraId="35597239"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bookmarkStart w:id="27" w:name="_Hlk76925700"/>
      <w:r w:rsidRPr="007115FD">
        <w:rPr>
          <w:rFonts w:ascii="Calibri" w:hAnsi="Calibri" w:cs="Calibri"/>
          <w:noProof/>
          <w:sz w:val="24"/>
          <w:szCs w:val="24"/>
          <w:lang w:val="en-GB"/>
        </w:rPr>
        <w:t xml:space="preserve">19. </w:t>
      </w:r>
      <w:r w:rsidRPr="007115FD">
        <w:rPr>
          <w:rFonts w:ascii="Calibri" w:hAnsi="Calibri" w:cs="Calibri"/>
          <w:noProof/>
          <w:sz w:val="24"/>
          <w:szCs w:val="24"/>
          <w:lang w:val="en-GB"/>
        </w:rPr>
        <w:tab/>
        <w:t>Dwairy M, Achoui M (2010) Parental control: A second cross-cultural research on parenting and psychological adjustment of children. J Child Fam Stud 19:16–22. https://doi.org/10.1007/s10826-009-9334-2</w:t>
      </w:r>
    </w:p>
    <w:p w14:paraId="437FC22F"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20. </w:t>
      </w:r>
      <w:r w:rsidRPr="007115FD">
        <w:rPr>
          <w:rFonts w:ascii="Calibri" w:hAnsi="Calibri" w:cs="Calibri"/>
          <w:noProof/>
          <w:sz w:val="24"/>
          <w:szCs w:val="24"/>
          <w:lang w:val="en-GB"/>
        </w:rPr>
        <w:tab/>
        <w:t>Liau AK, Khoo A, Ang PH (2008) Parental awareness and monitoring of adolescent Internet use. Curr Psychol 27:217–233. https://doi.org/10.1007/s12144-008-9038-6</w:t>
      </w:r>
    </w:p>
    <w:bookmarkEnd w:id="27"/>
    <w:p w14:paraId="174957DF"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21. </w:t>
      </w:r>
      <w:r w:rsidRPr="007115FD">
        <w:rPr>
          <w:rFonts w:ascii="Calibri" w:hAnsi="Calibri" w:cs="Calibri"/>
          <w:noProof/>
          <w:sz w:val="24"/>
          <w:szCs w:val="24"/>
          <w:lang w:val="en-GB"/>
        </w:rPr>
        <w:tab/>
        <w:t xml:space="preserve">Yilmaz MB, Orhan F (2010) The use of Internet by high school students for </w:t>
      </w:r>
      <w:r w:rsidRPr="007115FD">
        <w:rPr>
          <w:rFonts w:ascii="Calibri" w:hAnsi="Calibri" w:cs="Calibri"/>
          <w:noProof/>
          <w:sz w:val="24"/>
          <w:szCs w:val="24"/>
          <w:lang w:val="en-GB"/>
        </w:rPr>
        <w:lastRenderedPageBreak/>
        <w:t>educational purposes in respect to their learning approaches. Procedia - Soc Behav Sci 2:2143–2150. https://doi.org/10.1016/j.sbspro.2010.03.296</w:t>
      </w:r>
    </w:p>
    <w:p w14:paraId="73BCD4D5"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r w:rsidRPr="007115FD">
        <w:rPr>
          <w:rFonts w:ascii="Calibri" w:hAnsi="Calibri" w:cs="Calibri"/>
          <w:noProof/>
          <w:sz w:val="24"/>
          <w:szCs w:val="24"/>
          <w:lang w:val="en-GB"/>
        </w:rPr>
        <w:t xml:space="preserve">22. </w:t>
      </w:r>
      <w:r w:rsidRPr="007115FD">
        <w:rPr>
          <w:rFonts w:ascii="Calibri" w:hAnsi="Calibri" w:cs="Calibri"/>
          <w:noProof/>
          <w:sz w:val="24"/>
          <w:szCs w:val="24"/>
          <w:lang w:val="en-GB"/>
        </w:rPr>
        <w:tab/>
        <w:t>Ha YM, Hwang WJ (2014) Gender Differences in Internet Addiction Associated with Psychological Health Indicators Among Adolescents Using a National Web-based Survey. Int J Ment Health Addict 12:660–669. https://doi.org/10.1007/s11469-014-9500-7</w:t>
      </w:r>
    </w:p>
    <w:p w14:paraId="2E3DF2E1"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szCs w:val="24"/>
          <w:lang w:val="en-GB"/>
        </w:rPr>
      </w:pPr>
      <w:bookmarkStart w:id="28" w:name="_Hlk76924760"/>
      <w:r w:rsidRPr="007115FD">
        <w:rPr>
          <w:rFonts w:ascii="Calibri" w:hAnsi="Calibri" w:cs="Calibri"/>
          <w:noProof/>
          <w:sz w:val="24"/>
          <w:szCs w:val="24"/>
          <w:lang w:val="en-GB"/>
        </w:rPr>
        <w:t xml:space="preserve">23. </w:t>
      </w:r>
      <w:r w:rsidRPr="007115FD">
        <w:rPr>
          <w:rFonts w:ascii="Calibri" w:hAnsi="Calibri" w:cs="Calibri"/>
          <w:noProof/>
          <w:sz w:val="24"/>
          <w:szCs w:val="24"/>
          <w:lang w:val="en-GB"/>
        </w:rPr>
        <w:tab/>
        <w:t>Cipolletta S, Malighetti C, Cenedese C, Spoto A (2020) How can adolescents benefit from the use of social networks? The igeneration on instagram. Int J Environ Res Public Health 17:1–15. https://doi.org/10.3390/ijerph17196952</w:t>
      </w:r>
    </w:p>
    <w:bookmarkEnd w:id="28"/>
    <w:p w14:paraId="199B7330" w14:textId="77777777" w:rsidR="009D739B" w:rsidRPr="007115FD" w:rsidRDefault="009D739B" w:rsidP="009D739B">
      <w:pPr>
        <w:widowControl w:val="0"/>
        <w:autoSpaceDE w:val="0"/>
        <w:autoSpaceDN w:val="0"/>
        <w:adjustRightInd w:val="0"/>
        <w:spacing w:line="480" w:lineRule="auto"/>
        <w:ind w:left="640" w:hanging="640"/>
        <w:rPr>
          <w:rFonts w:ascii="Calibri" w:hAnsi="Calibri" w:cs="Calibri"/>
          <w:noProof/>
          <w:sz w:val="24"/>
          <w:lang w:val="en-GB"/>
        </w:rPr>
      </w:pPr>
      <w:r w:rsidRPr="007115FD">
        <w:rPr>
          <w:rFonts w:ascii="Calibri" w:hAnsi="Calibri" w:cs="Calibri"/>
          <w:noProof/>
          <w:sz w:val="24"/>
          <w:szCs w:val="24"/>
          <w:lang w:val="en-GB"/>
        </w:rPr>
        <w:t xml:space="preserve">24. </w:t>
      </w:r>
      <w:r w:rsidRPr="007115FD">
        <w:rPr>
          <w:rFonts w:ascii="Calibri" w:hAnsi="Calibri" w:cs="Calibri"/>
          <w:noProof/>
          <w:sz w:val="24"/>
          <w:szCs w:val="24"/>
          <w:lang w:val="en-GB"/>
        </w:rPr>
        <w:tab/>
        <w:t>Dong H, Yang F, Lu X, Hao W (2020) Internet Addiction and Related Psychological Factors Among Children and Adolescents in China During the Coronavirus Disease 2019 (COVID-19) Epidemic. Front Psychiatry 11:1–9. https://doi.org/10.3389/fpsyt.2020.00751</w:t>
      </w:r>
    </w:p>
    <w:p w14:paraId="05A4AE6F" w14:textId="49CB39C5" w:rsidR="00BC4811" w:rsidRDefault="00D9232D" w:rsidP="004E289D">
      <w:pPr>
        <w:spacing w:line="480" w:lineRule="auto"/>
        <w:rPr>
          <w:sz w:val="24"/>
          <w:szCs w:val="24"/>
          <w:lang w:val="en-GB"/>
        </w:rPr>
      </w:pPr>
      <w:r>
        <w:rPr>
          <w:sz w:val="24"/>
          <w:szCs w:val="24"/>
          <w:lang w:val="en-GB"/>
        </w:rPr>
        <w:fldChar w:fldCharType="end"/>
      </w:r>
      <w:bookmarkEnd w:id="1"/>
    </w:p>
    <w:p w14:paraId="147405DF" w14:textId="77777777" w:rsidR="00BC4811" w:rsidRDefault="00BC4811">
      <w:pPr>
        <w:rPr>
          <w:sz w:val="24"/>
          <w:szCs w:val="24"/>
          <w:lang w:val="en-GB"/>
        </w:rPr>
      </w:pPr>
      <w:r>
        <w:rPr>
          <w:sz w:val="24"/>
          <w:szCs w:val="24"/>
          <w:lang w:val="en-GB"/>
        </w:rPr>
        <w:br w:type="page"/>
      </w:r>
    </w:p>
    <w:p w14:paraId="7F26E508" w14:textId="69E28E60" w:rsidR="00C421C1" w:rsidRDefault="00BC4811" w:rsidP="00BC4811">
      <w:pPr>
        <w:pStyle w:val="Heading1"/>
      </w:pPr>
      <w:r>
        <w:lastRenderedPageBreak/>
        <w:t>Tables and Figures</w:t>
      </w:r>
    </w:p>
    <w:tbl>
      <w:tblPr>
        <w:tblStyle w:val="TableGrid"/>
        <w:tblpPr w:leftFromText="141" w:rightFromText="141" w:vertAnchor="text" w:horzAnchor="margin" w:tblpXSpec="center" w:tblpY="227"/>
        <w:tblW w:w="0" w:type="auto"/>
        <w:tblLook w:val="04A0" w:firstRow="1" w:lastRow="0" w:firstColumn="1" w:lastColumn="0" w:noHBand="0" w:noVBand="1"/>
      </w:tblPr>
      <w:tblGrid>
        <w:gridCol w:w="1685"/>
        <w:gridCol w:w="1691"/>
        <w:gridCol w:w="1240"/>
        <w:gridCol w:w="1209"/>
        <w:gridCol w:w="1226"/>
        <w:gridCol w:w="1119"/>
      </w:tblGrid>
      <w:tr w:rsidR="00820F60" w:rsidRPr="007F2B25" w14:paraId="78F6F3CD" w14:textId="77777777" w:rsidTr="00AA0A6A">
        <w:tc>
          <w:tcPr>
            <w:tcW w:w="7707" w:type="dxa"/>
            <w:gridSpan w:val="6"/>
            <w:tcBorders>
              <w:top w:val="nil"/>
              <w:left w:val="nil"/>
              <w:bottom w:val="single" w:sz="4" w:space="0" w:color="auto"/>
              <w:right w:val="nil"/>
            </w:tcBorders>
          </w:tcPr>
          <w:p w14:paraId="12FC6D3A" w14:textId="77777777" w:rsidR="00820F60" w:rsidRPr="00A925B4" w:rsidRDefault="00820F60" w:rsidP="00AA0A6A">
            <w:pPr>
              <w:spacing w:line="360" w:lineRule="auto"/>
              <w:rPr>
                <w:b/>
                <w:bCs/>
                <w:sz w:val="24"/>
                <w:szCs w:val="24"/>
                <w:lang w:val="en-GB"/>
              </w:rPr>
            </w:pPr>
            <w:r w:rsidRPr="00A925B4">
              <w:rPr>
                <w:b/>
                <w:bCs/>
                <w:sz w:val="24"/>
                <w:szCs w:val="24"/>
                <w:lang w:val="en-GB"/>
              </w:rPr>
              <w:t>Table 1. Sample characteristics (overall and by heavy Internet</w:t>
            </w:r>
            <w:r>
              <w:rPr>
                <w:b/>
                <w:bCs/>
                <w:sz w:val="24"/>
                <w:szCs w:val="24"/>
                <w:lang w:val="en-GB"/>
              </w:rPr>
              <w:t xml:space="preserve"> use</w:t>
            </w:r>
            <w:r w:rsidRPr="00A925B4">
              <w:rPr>
                <w:b/>
                <w:bCs/>
                <w:sz w:val="24"/>
                <w:szCs w:val="24"/>
                <w:lang w:val="en-GB"/>
              </w:rPr>
              <w:t>) (N=317,443)</w:t>
            </w:r>
          </w:p>
        </w:tc>
      </w:tr>
      <w:tr w:rsidR="00820F60" w:rsidRPr="007F2B25" w14:paraId="127B5DE4" w14:textId="77777777" w:rsidTr="00AA0A6A">
        <w:tc>
          <w:tcPr>
            <w:tcW w:w="1562" w:type="dxa"/>
            <w:tcBorders>
              <w:left w:val="single" w:sz="4" w:space="0" w:color="auto"/>
              <w:bottom w:val="single" w:sz="4" w:space="0" w:color="auto"/>
              <w:right w:val="single" w:sz="4" w:space="0" w:color="auto"/>
            </w:tcBorders>
          </w:tcPr>
          <w:p w14:paraId="34F40658" w14:textId="77777777" w:rsidR="00820F60" w:rsidRPr="00A925B4" w:rsidRDefault="00820F60" w:rsidP="00AA0A6A">
            <w:pPr>
              <w:spacing w:line="360" w:lineRule="auto"/>
              <w:rPr>
                <w:b/>
                <w:bCs/>
                <w:sz w:val="24"/>
                <w:szCs w:val="24"/>
                <w:lang w:val="en-GB"/>
              </w:rPr>
            </w:pPr>
            <w:r w:rsidRPr="00A925B4">
              <w:rPr>
                <w:b/>
                <w:bCs/>
                <w:sz w:val="24"/>
                <w:szCs w:val="24"/>
                <w:lang w:val="en-GB"/>
              </w:rPr>
              <w:t>Characteristic</w:t>
            </w:r>
          </w:p>
        </w:tc>
        <w:tc>
          <w:tcPr>
            <w:tcW w:w="1568" w:type="dxa"/>
            <w:tcBorders>
              <w:left w:val="single" w:sz="4" w:space="0" w:color="auto"/>
              <w:bottom w:val="single" w:sz="4" w:space="0" w:color="auto"/>
              <w:right w:val="single" w:sz="4" w:space="0" w:color="auto"/>
            </w:tcBorders>
          </w:tcPr>
          <w:p w14:paraId="10A43603" w14:textId="77777777" w:rsidR="00820F60" w:rsidRPr="00A925B4" w:rsidRDefault="00820F60" w:rsidP="00AA0A6A">
            <w:pPr>
              <w:spacing w:line="360" w:lineRule="auto"/>
              <w:rPr>
                <w:b/>
                <w:bCs/>
                <w:sz w:val="24"/>
                <w:szCs w:val="24"/>
                <w:lang w:val="en-GB"/>
              </w:rPr>
            </w:pPr>
            <w:r w:rsidRPr="00A925B4">
              <w:rPr>
                <w:b/>
                <w:bCs/>
                <w:sz w:val="24"/>
                <w:szCs w:val="24"/>
                <w:lang w:val="en-GB"/>
              </w:rPr>
              <w:t>Category</w:t>
            </w:r>
          </w:p>
        </w:tc>
        <w:tc>
          <w:tcPr>
            <w:tcW w:w="1240" w:type="dxa"/>
            <w:tcBorders>
              <w:left w:val="single" w:sz="4" w:space="0" w:color="auto"/>
              <w:bottom w:val="single" w:sz="4" w:space="0" w:color="auto"/>
              <w:right w:val="single" w:sz="4" w:space="0" w:color="auto"/>
            </w:tcBorders>
          </w:tcPr>
          <w:p w14:paraId="06B8D4FB" w14:textId="77777777" w:rsidR="00820F60" w:rsidRPr="00A925B4" w:rsidRDefault="00820F60" w:rsidP="00AA0A6A">
            <w:pPr>
              <w:spacing w:line="360" w:lineRule="auto"/>
              <w:rPr>
                <w:b/>
                <w:bCs/>
                <w:sz w:val="24"/>
                <w:szCs w:val="24"/>
                <w:lang w:val="en-GB"/>
              </w:rPr>
            </w:pPr>
            <w:r w:rsidRPr="00A925B4">
              <w:rPr>
                <w:b/>
                <w:bCs/>
                <w:sz w:val="24"/>
                <w:szCs w:val="24"/>
                <w:lang w:val="en-GB"/>
              </w:rPr>
              <w:t>Overall</w:t>
            </w:r>
          </w:p>
        </w:tc>
        <w:tc>
          <w:tcPr>
            <w:tcW w:w="1099" w:type="dxa"/>
            <w:tcBorders>
              <w:left w:val="single" w:sz="4" w:space="0" w:color="auto"/>
              <w:bottom w:val="single" w:sz="4" w:space="0" w:color="auto"/>
              <w:right w:val="single" w:sz="4" w:space="0" w:color="auto"/>
            </w:tcBorders>
          </w:tcPr>
          <w:p w14:paraId="7BCF4406" w14:textId="77777777" w:rsidR="00820F60" w:rsidRPr="00A925B4" w:rsidRDefault="00820F60" w:rsidP="00AA0A6A">
            <w:pPr>
              <w:spacing w:line="360" w:lineRule="auto"/>
              <w:rPr>
                <w:b/>
                <w:bCs/>
                <w:sz w:val="24"/>
                <w:szCs w:val="24"/>
                <w:lang w:val="en-GB"/>
              </w:rPr>
            </w:pPr>
            <w:r w:rsidRPr="00A925B4">
              <w:rPr>
                <w:b/>
                <w:bCs/>
                <w:sz w:val="24"/>
                <w:szCs w:val="24"/>
                <w:lang w:val="en-GB"/>
              </w:rPr>
              <w:t xml:space="preserve">Heavy </w:t>
            </w:r>
            <w:r>
              <w:rPr>
                <w:b/>
                <w:bCs/>
                <w:sz w:val="24"/>
                <w:szCs w:val="24"/>
                <w:lang w:val="en-GB"/>
              </w:rPr>
              <w:t>Internet use</w:t>
            </w:r>
            <w:r w:rsidRPr="00A925B4">
              <w:rPr>
                <w:b/>
                <w:bCs/>
                <w:sz w:val="24"/>
                <w:szCs w:val="24"/>
                <w:lang w:val="en-GB"/>
              </w:rPr>
              <w:t xml:space="preserve"> during weekdays</w:t>
            </w:r>
          </w:p>
        </w:tc>
        <w:tc>
          <w:tcPr>
            <w:tcW w:w="1119" w:type="dxa"/>
            <w:tcBorders>
              <w:left w:val="single" w:sz="4" w:space="0" w:color="auto"/>
              <w:bottom w:val="single" w:sz="4" w:space="0" w:color="auto"/>
              <w:right w:val="single" w:sz="4" w:space="0" w:color="auto"/>
            </w:tcBorders>
          </w:tcPr>
          <w:p w14:paraId="597185C7" w14:textId="77777777" w:rsidR="00820F60" w:rsidRPr="00A925B4" w:rsidRDefault="00820F60" w:rsidP="00AA0A6A">
            <w:pPr>
              <w:spacing w:line="360" w:lineRule="auto"/>
              <w:rPr>
                <w:b/>
                <w:bCs/>
                <w:sz w:val="24"/>
                <w:szCs w:val="24"/>
                <w:lang w:val="en-GB"/>
              </w:rPr>
            </w:pPr>
            <w:r w:rsidRPr="00A925B4">
              <w:rPr>
                <w:b/>
                <w:bCs/>
                <w:sz w:val="24"/>
                <w:szCs w:val="24"/>
                <w:lang w:val="en-GB"/>
              </w:rPr>
              <w:t xml:space="preserve">Heavy </w:t>
            </w:r>
            <w:r>
              <w:rPr>
                <w:b/>
                <w:bCs/>
                <w:sz w:val="24"/>
                <w:szCs w:val="24"/>
                <w:lang w:val="en-GB"/>
              </w:rPr>
              <w:t>Internet use</w:t>
            </w:r>
            <w:r w:rsidRPr="00A925B4">
              <w:rPr>
                <w:b/>
                <w:bCs/>
                <w:sz w:val="24"/>
                <w:szCs w:val="24"/>
                <w:lang w:val="en-GB"/>
              </w:rPr>
              <w:t xml:space="preserve"> during weekends</w:t>
            </w:r>
          </w:p>
        </w:tc>
        <w:tc>
          <w:tcPr>
            <w:tcW w:w="1119" w:type="dxa"/>
            <w:tcBorders>
              <w:left w:val="single" w:sz="4" w:space="0" w:color="auto"/>
              <w:bottom w:val="single" w:sz="4" w:space="0" w:color="auto"/>
              <w:right w:val="single" w:sz="4" w:space="0" w:color="auto"/>
            </w:tcBorders>
          </w:tcPr>
          <w:p w14:paraId="7325F6D6" w14:textId="77777777" w:rsidR="00820F60" w:rsidRPr="00A925B4" w:rsidRDefault="00820F60" w:rsidP="00AA0A6A">
            <w:pPr>
              <w:spacing w:line="360" w:lineRule="auto"/>
              <w:rPr>
                <w:b/>
                <w:bCs/>
                <w:sz w:val="24"/>
                <w:szCs w:val="24"/>
                <w:lang w:val="en-GB"/>
              </w:rPr>
            </w:pPr>
            <w:r w:rsidRPr="00A925B4">
              <w:rPr>
                <w:b/>
                <w:bCs/>
                <w:sz w:val="24"/>
                <w:szCs w:val="24"/>
                <w:lang w:val="en-GB"/>
              </w:rPr>
              <w:t xml:space="preserve">Heavy </w:t>
            </w:r>
            <w:r>
              <w:rPr>
                <w:b/>
                <w:bCs/>
                <w:sz w:val="24"/>
                <w:szCs w:val="24"/>
                <w:lang w:val="en-GB"/>
              </w:rPr>
              <w:t>Internet use</w:t>
            </w:r>
            <w:r w:rsidRPr="00A925B4">
              <w:rPr>
                <w:b/>
                <w:bCs/>
                <w:sz w:val="24"/>
                <w:szCs w:val="24"/>
                <w:lang w:val="en-GB"/>
              </w:rPr>
              <w:t xml:space="preserve"> in the school  </w:t>
            </w:r>
          </w:p>
        </w:tc>
      </w:tr>
      <w:tr w:rsidR="00820F60" w:rsidRPr="00D9232D" w14:paraId="7F2BA744" w14:textId="77777777" w:rsidTr="00AA0A6A">
        <w:tc>
          <w:tcPr>
            <w:tcW w:w="1562" w:type="dxa"/>
            <w:tcBorders>
              <w:left w:val="single" w:sz="4" w:space="0" w:color="auto"/>
              <w:bottom w:val="single" w:sz="4" w:space="0" w:color="auto"/>
              <w:right w:val="single" w:sz="4" w:space="0" w:color="auto"/>
            </w:tcBorders>
          </w:tcPr>
          <w:p w14:paraId="21CDA7E8" w14:textId="24D7DDC1" w:rsidR="00820F60" w:rsidRPr="00D9232D" w:rsidRDefault="00820F60" w:rsidP="00AA0A6A">
            <w:pPr>
              <w:spacing w:line="360" w:lineRule="auto"/>
              <w:rPr>
                <w:sz w:val="24"/>
                <w:szCs w:val="24"/>
                <w:lang w:val="en-GB"/>
              </w:rPr>
            </w:pPr>
            <w:r w:rsidRPr="00D9232D">
              <w:rPr>
                <w:sz w:val="24"/>
                <w:szCs w:val="24"/>
                <w:lang w:val="en-GB"/>
              </w:rPr>
              <w:t xml:space="preserve">Age of </w:t>
            </w:r>
            <w:r w:rsidR="00442540">
              <w:rPr>
                <w:sz w:val="24"/>
                <w:szCs w:val="24"/>
                <w:lang w:val="en-GB"/>
              </w:rPr>
              <w:t>first exposure to Internet</w:t>
            </w:r>
          </w:p>
        </w:tc>
        <w:tc>
          <w:tcPr>
            <w:tcW w:w="1568" w:type="dxa"/>
            <w:tcBorders>
              <w:left w:val="single" w:sz="4" w:space="0" w:color="auto"/>
              <w:bottom w:val="single" w:sz="4" w:space="0" w:color="auto"/>
              <w:right w:val="single" w:sz="4" w:space="0" w:color="auto"/>
            </w:tcBorders>
          </w:tcPr>
          <w:p w14:paraId="69AF2BF9" w14:textId="77777777" w:rsidR="00820F60" w:rsidRPr="00D9232D" w:rsidRDefault="00820F60" w:rsidP="00AA0A6A">
            <w:pPr>
              <w:spacing w:line="360" w:lineRule="auto"/>
              <w:rPr>
                <w:sz w:val="24"/>
                <w:szCs w:val="24"/>
                <w:lang w:val="en-GB"/>
              </w:rPr>
            </w:pPr>
            <w:r w:rsidRPr="00D9232D">
              <w:rPr>
                <w:sz w:val="24"/>
                <w:szCs w:val="24"/>
                <w:lang w:val="en-GB"/>
              </w:rPr>
              <w:t>9 years or lower</w:t>
            </w:r>
          </w:p>
        </w:tc>
        <w:tc>
          <w:tcPr>
            <w:tcW w:w="1240" w:type="dxa"/>
            <w:tcBorders>
              <w:left w:val="single" w:sz="4" w:space="0" w:color="auto"/>
              <w:bottom w:val="single" w:sz="4" w:space="0" w:color="auto"/>
              <w:right w:val="single" w:sz="4" w:space="0" w:color="auto"/>
            </w:tcBorders>
          </w:tcPr>
          <w:p w14:paraId="0036CE3F" w14:textId="77777777" w:rsidR="00820F60" w:rsidRPr="00D9232D" w:rsidRDefault="00820F60" w:rsidP="00AA0A6A">
            <w:pPr>
              <w:spacing w:line="360" w:lineRule="auto"/>
              <w:rPr>
                <w:sz w:val="24"/>
                <w:szCs w:val="24"/>
                <w:lang w:val="en-GB"/>
              </w:rPr>
            </w:pPr>
            <w:bookmarkStart w:id="29" w:name="_Hlk62998326"/>
            <w:r w:rsidRPr="00D9232D">
              <w:rPr>
                <w:sz w:val="24"/>
                <w:szCs w:val="24"/>
                <w:lang w:val="en-GB"/>
              </w:rPr>
              <w:t>60.3</w:t>
            </w:r>
            <w:bookmarkEnd w:id="29"/>
          </w:p>
        </w:tc>
        <w:tc>
          <w:tcPr>
            <w:tcW w:w="1099" w:type="dxa"/>
            <w:tcBorders>
              <w:left w:val="single" w:sz="4" w:space="0" w:color="auto"/>
              <w:bottom w:val="single" w:sz="4" w:space="0" w:color="auto"/>
              <w:right w:val="single" w:sz="4" w:space="0" w:color="auto"/>
            </w:tcBorders>
          </w:tcPr>
          <w:p w14:paraId="5192F1BF" w14:textId="77777777" w:rsidR="00820F60" w:rsidRPr="00D9232D" w:rsidRDefault="00820F60" w:rsidP="00AA0A6A">
            <w:pPr>
              <w:spacing w:line="360" w:lineRule="auto"/>
              <w:rPr>
                <w:sz w:val="24"/>
                <w:szCs w:val="24"/>
                <w:lang w:val="en-GB"/>
              </w:rPr>
            </w:pPr>
            <w:r w:rsidRPr="00D9232D">
              <w:rPr>
                <w:sz w:val="24"/>
                <w:szCs w:val="24"/>
                <w:lang w:val="en-GB"/>
              </w:rPr>
              <w:t>71.8</w:t>
            </w:r>
          </w:p>
        </w:tc>
        <w:tc>
          <w:tcPr>
            <w:tcW w:w="1119" w:type="dxa"/>
            <w:tcBorders>
              <w:left w:val="single" w:sz="4" w:space="0" w:color="auto"/>
              <w:bottom w:val="single" w:sz="4" w:space="0" w:color="auto"/>
              <w:right w:val="single" w:sz="4" w:space="0" w:color="auto"/>
            </w:tcBorders>
          </w:tcPr>
          <w:p w14:paraId="0D510256" w14:textId="77777777" w:rsidR="00820F60" w:rsidRPr="00D9232D" w:rsidRDefault="00820F60" w:rsidP="00AA0A6A">
            <w:pPr>
              <w:spacing w:line="360" w:lineRule="auto"/>
              <w:rPr>
                <w:sz w:val="24"/>
                <w:szCs w:val="24"/>
                <w:lang w:val="en-GB"/>
              </w:rPr>
            </w:pPr>
            <w:r w:rsidRPr="00D9232D">
              <w:rPr>
                <w:sz w:val="24"/>
                <w:szCs w:val="24"/>
                <w:lang w:val="en-GB"/>
              </w:rPr>
              <w:t>81.6</w:t>
            </w:r>
          </w:p>
        </w:tc>
        <w:tc>
          <w:tcPr>
            <w:tcW w:w="1119" w:type="dxa"/>
            <w:tcBorders>
              <w:left w:val="single" w:sz="4" w:space="0" w:color="auto"/>
              <w:bottom w:val="single" w:sz="4" w:space="0" w:color="auto"/>
              <w:right w:val="single" w:sz="4" w:space="0" w:color="auto"/>
            </w:tcBorders>
          </w:tcPr>
          <w:p w14:paraId="77D345DA" w14:textId="77777777" w:rsidR="00820F60" w:rsidRPr="00D9232D" w:rsidRDefault="00820F60" w:rsidP="00AA0A6A">
            <w:pPr>
              <w:spacing w:line="360" w:lineRule="auto"/>
              <w:rPr>
                <w:sz w:val="24"/>
                <w:szCs w:val="24"/>
                <w:lang w:val="en-GB"/>
              </w:rPr>
            </w:pPr>
            <w:r w:rsidRPr="00D9232D">
              <w:rPr>
                <w:sz w:val="24"/>
                <w:szCs w:val="24"/>
                <w:lang w:val="en-GB"/>
              </w:rPr>
              <w:t>25.0</w:t>
            </w:r>
          </w:p>
        </w:tc>
      </w:tr>
      <w:tr w:rsidR="00820F60" w:rsidRPr="00D9232D" w14:paraId="64E66255" w14:textId="77777777" w:rsidTr="00AA0A6A">
        <w:tc>
          <w:tcPr>
            <w:tcW w:w="1562" w:type="dxa"/>
            <w:tcBorders>
              <w:top w:val="single" w:sz="4" w:space="0" w:color="auto"/>
              <w:left w:val="single" w:sz="4" w:space="0" w:color="auto"/>
              <w:bottom w:val="single" w:sz="4" w:space="0" w:color="auto"/>
              <w:right w:val="single" w:sz="4" w:space="0" w:color="auto"/>
            </w:tcBorders>
          </w:tcPr>
          <w:p w14:paraId="48BCCB45"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0DCF01BE" w14:textId="77777777" w:rsidR="00820F60" w:rsidRPr="00D9232D" w:rsidRDefault="00820F60" w:rsidP="00AA0A6A">
            <w:pPr>
              <w:spacing w:line="360" w:lineRule="auto"/>
              <w:rPr>
                <w:sz w:val="24"/>
                <w:szCs w:val="24"/>
                <w:lang w:val="en-GB"/>
              </w:rPr>
            </w:pPr>
            <w:r w:rsidRPr="00D9232D">
              <w:rPr>
                <w:sz w:val="24"/>
                <w:szCs w:val="24"/>
                <w:lang w:val="en-GB"/>
              </w:rPr>
              <w:t>10 to 12 years</w:t>
            </w:r>
          </w:p>
        </w:tc>
        <w:tc>
          <w:tcPr>
            <w:tcW w:w="1240" w:type="dxa"/>
            <w:tcBorders>
              <w:top w:val="single" w:sz="4" w:space="0" w:color="auto"/>
              <w:left w:val="single" w:sz="4" w:space="0" w:color="auto"/>
              <w:bottom w:val="single" w:sz="4" w:space="0" w:color="auto"/>
              <w:right w:val="single" w:sz="4" w:space="0" w:color="auto"/>
            </w:tcBorders>
          </w:tcPr>
          <w:p w14:paraId="59828A2C" w14:textId="77777777" w:rsidR="00820F60" w:rsidRPr="00D9232D" w:rsidRDefault="00820F60" w:rsidP="00AA0A6A">
            <w:pPr>
              <w:spacing w:line="360" w:lineRule="auto"/>
              <w:rPr>
                <w:sz w:val="24"/>
                <w:szCs w:val="24"/>
                <w:lang w:val="en-GB"/>
              </w:rPr>
            </w:pPr>
            <w:r w:rsidRPr="00D9232D">
              <w:rPr>
                <w:sz w:val="24"/>
                <w:szCs w:val="24"/>
                <w:lang w:val="en-GB"/>
              </w:rPr>
              <w:t>30.7</w:t>
            </w:r>
          </w:p>
        </w:tc>
        <w:tc>
          <w:tcPr>
            <w:tcW w:w="1099" w:type="dxa"/>
            <w:tcBorders>
              <w:top w:val="single" w:sz="4" w:space="0" w:color="auto"/>
              <w:left w:val="single" w:sz="4" w:space="0" w:color="auto"/>
              <w:bottom w:val="single" w:sz="4" w:space="0" w:color="auto"/>
              <w:right w:val="single" w:sz="4" w:space="0" w:color="auto"/>
            </w:tcBorders>
          </w:tcPr>
          <w:p w14:paraId="7FFBA401" w14:textId="77777777" w:rsidR="00820F60" w:rsidRPr="00D9232D" w:rsidRDefault="00820F60" w:rsidP="00AA0A6A">
            <w:pPr>
              <w:spacing w:line="360" w:lineRule="auto"/>
              <w:rPr>
                <w:sz w:val="24"/>
                <w:szCs w:val="24"/>
                <w:lang w:val="en-GB"/>
              </w:rPr>
            </w:pPr>
            <w:r w:rsidRPr="00D9232D">
              <w:rPr>
                <w:sz w:val="24"/>
                <w:szCs w:val="24"/>
                <w:lang w:val="en-GB"/>
              </w:rPr>
              <w:t>63.1</w:t>
            </w:r>
          </w:p>
        </w:tc>
        <w:tc>
          <w:tcPr>
            <w:tcW w:w="1119" w:type="dxa"/>
            <w:tcBorders>
              <w:top w:val="single" w:sz="4" w:space="0" w:color="auto"/>
              <w:left w:val="single" w:sz="4" w:space="0" w:color="auto"/>
              <w:bottom w:val="single" w:sz="4" w:space="0" w:color="auto"/>
              <w:right w:val="single" w:sz="4" w:space="0" w:color="auto"/>
            </w:tcBorders>
          </w:tcPr>
          <w:p w14:paraId="73CFBB63" w14:textId="77777777" w:rsidR="00820F60" w:rsidRPr="00D9232D" w:rsidRDefault="00820F60" w:rsidP="00AA0A6A">
            <w:pPr>
              <w:spacing w:line="360" w:lineRule="auto"/>
              <w:rPr>
                <w:sz w:val="24"/>
                <w:szCs w:val="24"/>
                <w:lang w:val="en-GB"/>
              </w:rPr>
            </w:pPr>
            <w:r w:rsidRPr="00D9232D">
              <w:rPr>
                <w:sz w:val="24"/>
                <w:szCs w:val="24"/>
                <w:lang w:val="en-GB"/>
              </w:rPr>
              <w:t>74.0</w:t>
            </w:r>
          </w:p>
        </w:tc>
        <w:tc>
          <w:tcPr>
            <w:tcW w:w="1119" w:type="dxa"/>
            <w:tcBorders>
              <w:top w:val="single" w:sz="4" w:space="0" w:color="auto"/>
              <w:left w:val="single" w:sz="4" w:space="0" w:color="auto"/>
              <w:bottom w:val="single" w:sz="4" w:space="0" w:color="auto"/>
              <w:right w:val="single" w:sz="4" w:space="0" w:color="auto"/>
            </w:tcBorders>
          </w:tcPr>
          <w:p w14:paraId="0354BD14" w14:textId="77777777" w:rsidR="00820F60" w:rsidRPr="00D9232D" w:rsidRDefault="00820F60" w:rsidP="00AA0A6A">
            <w:pPr>
              <w:spacing w:line="360" w:lineRule="auto"/>
              <w:rPr>
                <w:sz w:val="24"/>
                <w:szCs w:val="24"/>
                <w:lang w:val="en-GB"/>
              </w:rPr>
            </w:pPr>
            <w:r w:rsidRPr="00D9232D">
              <w:rPr>
                <w:sz w:val="24"/>
                <w:szCs w:val="24"/>
                <w:lang w:val="en-GB"/>
              </w:rPr>
              <w:t>20.6</w:t>
            </w:r>
          </w:p>
        </w:tc>
      </w:tr>
      <w:tr w:rsidR="00820F60" w:rsidRPr="00D9232D" w14:paraId="00B7D74A" w14:textId="77777777" w:rsidTr="00AA0A6A">
        <w:tc>
          <w:tcPr>
            <w:tcW w:w="1562" w:type="dxa"/>
            <w:tcBorders>
              <w:top w:val="single" w:sz="4" w:space="0" w:color="auto"/>
              <w:left w:val="single" w:sz="4" w:space="0" w:color="auto"/>
              <w:bottom w:val="single" w:sz="4" w:space="0" w:color="auto"/>
              <w:right w:val="single" w:sz="4" w:space="0" w:color="auto"/>
            </w:tcBorders>
          </w:tcPr>
          <w:p w14:paraId="75574E50"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31645870" w14:textId="77777777" w:rsidR="00820F60" w:rsidRPr="00D9232D" w:rsidRDefault="00820F60" w:rsidP="00AA0A6A">
            <w:pPr>
              <w:spacing w:line="360" w:lineRule="auto"/>
              <w:rPr>
                <w:sz w:val="24"/>
                <w:szCs w:val="24"/>
                <w:lang w:val="en-GB"/>
              </w:rPr>
            </w:pPr>
            <w:r w:rsidRPr="00D9232D">
              <w:rPr>
                <w:sz w:val="24"/>
                <w:szCs w:val="24"/>
                <w:lang w:val="en-GB"/>
              </w:rPr>
              <w:t>13 years or over</w:t>
            </w:r>
          </w:p>
        </w:tc>
        <w:tc>
          <w:tcPr>
            <w:tcW w:w="1240" w:type="dxa"/>
            <w:tcBorders>
              <w:top w:val="single" w:sz="4" w:space="0" w:color="auto"/>
              <w:left w:val="single" w:sz="4" w:space="0" w:color="auto"/>
              <w:bottom w:val="single" w:sz="4" w:space="0" w:color="auto"/>
              <w:right w:val="single" w:sz="4" w:space="0" w:color="auto"/>
            </w:tcBorders>
          </w:tcPr>
          <w:p w14:paraId="71A18073" w14:textId="77777777" w:rsidR="00820F60" w:rsidRPr="00D9232D" w:rsidRDefault="00820F60" w:rsidP="00AA0A6A">
            <w:pPr>
              <w:spacing w:line="360" w:lineRule="auto"/>
              <w:rPr>
                <w:sz w:val="24"/>
                <w:szCs w:val="24"/>
                <w:lang w:val="en-GB"/>
              </w:rPr>
            </w:pPr>
            <w:r w:rsidRPr="00D9232D">
              <w:rPr>
                <w:sz w:val="24"/>
                <w:szCs w:val="24"/>
                <w:lang w:val="en-GB"/>
              </w:rPr>
              <w:t>9.0</w:t>
            </w:r>
          </w:p>
        </w:tc>
        <w:tc>
          <w:tcPr>
            <w:tcW w:w="1099" w:type="dxa"/>
            <w:tcBorders>
              <w:top w:val="single" w:sz="4" w:space="0" w:color="auto"/>
              <w:left w:val="single" w:sz="4" w:space="0" w:color="auto"/>
              <w:bottom w:val="single" w:sz="4" w:space="0" w:color="auto"/>
              <w:right w:val="single" w:sz="4" w:space="0" w:color="auto"/>
            </w:tcBorders>
          </w:tcPr>
          <w:p w14:paraId="5BC9ABB8" w14:textId="77777777" w:rsidR="00820F60" w:rsidRPr="00D9232D" w:rsidRDefault="00820F60" w:rsidP="00AA0A6A">
            <w:pPr>
              <w:spacing w:line="360" w:lineRule="auto"/>
              <w:rPr>
                <w:sz w:val="24"/>
                <w:szCs w:val="24"/>
                <w:lang w:val="en-GB"/>
              </w:rPr>
            </w:pPr>
            <w:r w:rsidRPr="00D9232D">
              <w:rPr>
                <w:sz w:val="24"/>
                <w:szCs w:val="24"/>
                <w:lang w:val="en-GB"/>
              </w:rPr>
              <w:t>47.6</w:t>
            </w:r>
          </w:p>
        </w:tc>
        <w:tc>
          <w:tcPr>
            <w:tcW w:w="1119" w:type="dxa"/>
            <w:tcBorders>
              <w:top w:val="single" w:sz="4" w:space="0" w:color="auto"/>
              <w:left w:val="single" w:sz="4" w:space="0" w:color="auto"/>
              <w:bottom w:val="single" w:sz="4" w:space="0" w:color="auto"/>
              <w:right w:val="single" w:sz="4" w:space="0" w:color="auto"/>
            </w:tcBorders>
          </w:tcPr>
          <w:p w14:paraId="62CD9A11" w14:textId="77777777" w:rsidR="00820F60" w:rsidRPr="00D9232D" w:rsidRDefault="00820F60" w:rsidP="00AA0A6A">
            <w:pPr>
              <w:spacing w:line="360" w:lineRule="auto"/>
              <w:rPr>
                <w:sz w:val="24"/>
                <w:szCs w:val="24"/>
                <w:lang w:val="en-GB"/>
              </w:rPr>
            </w:pPr>
            <w:r w:rsidRPr="00D9232D">
              <w:rPr>
                <w:sz w:val="24"/>
                <w:szCs w:val="24"/>
                <w:lang w:val="en-GB"/>
              </w:rPr>
              <w:t>57.5</w:t>
            </w:r>
          </w:p>
        </w:tc>
        <w:tc>
          <w:tcPr>
            <w:tcW w:w="1119" w:type="dxa"/>
            <w:tcBorders>
              <w:top w:val="single" w:sz="4" w:space="0" w:color="auto"/>
              <w:left w:val="single" w:sz="4" w:space="0" w:color="auto"/>
              <w:bottom w:val="single" w:sz="4" w:space="0" w:color="auto"/>
              <w:right w:val="single" w:sz="4" w:space="0" w:color="auto"/>
            </w:tcBorders>
          </w:tcPr>
          <w:p w14:paraId="049C716B" w14:textId="77777777" w:rsidR="00820F60" w:rsidRPr="00D9232D" w:rsidRDefault="00820F60" w:rsidP="00AA0A6A">
            <w:pPr>
              <w:spacing w:line="360" w:lineRule="auto"/>
              <w:rPr>
                <w:sz w:val="24"/>
                <w:szCs w:val="24"/>
                <w:lang w:val="en-GB"/>
              </w:rPr>
            </w:pPr>
            <w:r w:rsidRPr="00D9232D">
              <w:rPr>
                <w:sz w:val="24"/>
                <w:szCs w:val="24"/>
                <w:lang w:val="en-GB"/>
              </w:rPr>
              <w:t>19.2</w:t>
            </w:r>
          </w:p>
        </w:tc>
      </w:tr>
      <w:tr w:rsidR="00820F60" w:rsidRPr="00D9232D" w14:paraId="35E48E62" w14:textId="77777777" w:rsidTr="00AA0A6A">
        <w:tc>
          <w:tcPr>
            <w:tcW w:w="1562" w:type="dxa"/>
            <w:tcBorders>
              <w:top w:val="single" w:sz="4" w:space="0" w:color="auto"/>
              <w:left w:val="single" w:sz="4" w:space="0" w:color="auto"/>
              <w:bottom w:val="single" w:sz="4" w:space="0" w:color="auto"/>
              <w:right w:val="single" w:sz="4" w:space="0" w:color="auto"/>
            </w:tcBorders>
          </w:tcPr>
          <w:p w14:paraId="27CAD4F3" w14:textId="77777777" w:rsidR="00820F60" w:rsidRPr="00D9232D" w:rsidRDefault="00820F60" w:rsidP="00AA0A6A">
            <w:pPr>
              <w:spacing w:line="360" w:lineRule="auto"/>
              <w:rPr>
                <w:sz w:val="24"/>
                <w:szCs w:val="24"/>
                <w:lang w:val="en-GB"/>
              </w:rPr>
            </w:pPr>
            <w:r w:rsidRPr="00D9232D">
              <w:rPr>
                <w:sz w:val="24"/>
                <w:szCs w:val="24"/>
                <w:lang w:val="en-GB"/>
              </w:rPr>
              <w:t>Sex</w:t>
            </w:r>
          </w:p>
        </w:tc>
        <w:tc>
          <w:tcPr>
            <w:tcW w:w="1568" w:type="dxa"/>
            <w:tcBorders>
              <w:top w:val="single" w:sz="4" w:space="0" w:color="auto"/>
              <w:left w:val="single" w:sz="4" w:space="0" w:color="auto"/>
              <w:bottom w:val="single" w:sz="4" w:space="0" w:color="auto"/>
              <w:right w:val="single" w:sz="4" w:space="0" w:color="auto"/>
            </w:tcBorders>
          </w:tcPr>
          <w:p w14:paraId="2B58486B" w14:textId="77777777" w:rsidR="00820F60" w:rsidRPr="00D9232D" w:rsidRDefault="00820F60" w:rsidP="00AA0A6A">
            <w:pPr>
              <w:spacing w:line="360" w:lineRule="auto"/>
              <w:rPr>
                <w:sz w:val="24"/>
                <w:szCs w:val="24"/>
                <w:lang w:val="en-GB"/>
              </w:rPr>
            </w:pPr>
            <w:r w:rsidRPr="00D9232D">
              <w:rPr>
                <w:sz w:val="24"/>
                <w:szCs w:val="24"/>
                <w:lang w:val="en-GB"/>
              </w:rPr>
              <w:t>Boys</w:t>
            </w:r>
          </w:p>
        </w:tc>
        <w:tc>
          <w:tcPr>
            <w:tcW w:w="1240" w:type="dxa"/>
            <w:tcBorders>
              <w:top w:val="single" w:sz="4" w:space="0" w:color="auto"/>
              <w:left w:val="single" w:sz="4" w:space="0" w:color="auto"/>
              <w:bottom w:val="single" w:sz="4" w:space="0" w:color="auto"/>
              <w:right w:val="single" w:sz="4" w:space="0" w:color="auto"/>
            </w:tcBorders>
          </w:tcPr>
          <w:p w14:paraId="74DF038D" w14:textId="77777777" w:rsidR="00820F60" w:rsidRPr="00D9232D" w:rsidRDefault="00820F60" w:rsidP="00AA0A6A">
            <w:pPr>
              <w:spacing w:line="360" w:lineRule="auto"/>
              <w:rPr>
                <w:sz w:val="24"/>
                <w:szCs w:val="24"/>
                <w:lang w:val="en-GB"/>
              </w:rPr>
            </w:pPr>
            <w:r w:rsidRPr="00D9232D">
              <w:rPr>
                <w:sz w:val="24"/>
                <w:szCs w:val="24"/>
                <w:lang w:val="en-GB"/>
              </w:rPr>
              <w:t>49.2</w:t>
            </w:r>
          </w:p>
        </w:tc>
        <w:tc>
          <w:tcPr>
            <w:tcW w:w="1099" w:type="dxa"/>
            <w:tcBorders>
              <w:top w:val="single" w:sz="4" w:space="0" w:color="auto"/>
              <w:left w:val="single" w:sz="4" w:space="0" w:color="auto"/>
              <w:bottom w:val="single" w:sz="4" w:space="0" w:color="auto"/>
              <w:right w:val="single" w:sz="4" w:space="0" w:color="auto"/>
            </w:tcBorders>
          </w:tcPr>
          <w:p w14:paraId="2A983624" w14:textId="77777777" w:rsidR="00820F60" w:rsidRPr="00D9232D" w:rsidRDefault="00820F60" w:rsidP="00AA0A6A">
            <w:pPr>
              <w:spacing w:line="360" w:lineRule="auto"/>
              <w:rPr>
                <w:sz w:val="24"/>
                <w:szCs w:val="24"/>
                <w:lang w:val="en-GB"/>
              </w:rPr>
            </w:pPr>
            <w:r w:rsidRPr="00D9232D">
              <w:rPr>
                <w:sz w:val="24"/>
                <w:szCs w:val="24"/>
                <w:lang w:val="en-GB"/>
              </w:rPr>
              <w:t>65.5</w:t>
            </w:r>
          </w:p>
        </w:tc>
        <w:tc>
          <w:tcPr>
            <w:tcW w:w="1119" w:type="dxa"/>
            <w:tcBorders>
              <w:top w:val="single" w:sz="4" w:space="0" w:color="auto"/>
              <w:left w:val="single" w:sz="4" w:space="0" w:color="auto"/>
              <w:bottom w:val="single" w:sz="4" w:space="0" w:color="auto"/>
              <w:right w:val="single" w:sz="4" w:space="0" w:color="auto"/>
            </w:tcBorders>
          </w:tcPr>
          <w:p w14:paraId="2C61D354" w14:textId="77777777" w:rsidR="00820F60" w:rsidRPr="00D9232D" w:rsidRDefault="00820F60" w:rsidP="00AA0A6A">
            <w:pPr>
              <w:spacing w:line="360" w:lineRule="auto"/>
              <w:rPr>
                <w:sz w:val="24"/>
                <w:szCs w:val="24"/>
                <w:lang w:val="en-GB"/>
              </w:rPr>
            </w:pPr>
            <w:r w:rsidRPr="00D9232D">
              <w:rPr>
                <w:sz w:val="24"/>
                <w:szCs w:val="24"/>
                <w:lang w:val="en-GB"/>
              </w:rPr>
              <w:t>75.6</w:t>
            </w:r>
          </w:p>
        </w:tc>
        <w:tc>
          <w:tcPr>
            <w:tcW w:w="1119" w:type="dxa"/>
            <w:tcBorders>
              <w:top w:val="single" w:sz="4" w:space="0" w:color="auto"/>
              <w:left w:val="single" w:sz="4" w:space="0" w:color="auto"/>
              <w:bottom w:val="single" w:sz="4" w:space="0" w:color="auto"/>
              <w:right w:val="single" w:sz="4" w:space="0" w:color="auto"/>
            </w:tcBorders>
          </w:tcPr>
          <w:p w14:paraId="3FF50599" w14:textId="77777777" w:rsidR="00820F60" w:rsidRPr="00D9232D" w:rsidRDefault="00820F60" w:rsidP="00AA0A6A">
            <w:pPr>
              <w:spacing w:line="360" w:lineRule="auto"/>
              <w:rPr>
                <w:sz w:val="24"/>
                <w:szCs w:val="24"/>
                <w:lang w:val="en-GB"/>
              </w:rPr>
            </w:pPr>
            <w:r w:rsidRPr="00D9232D">
              <w:rPr>
                <w:sz w:val="24"/>
                <w:szCs w:val="24"/>
                <w:lang w:val="en-GB"/>
              </w:rPr>
              <w:t>22.6</w:t>
            </w:r>
          </w:p>
        </w:tc>
      </w:tr>
      <w:tr w:rsidR="00820F60" w:rsidRPr="00D9232D" w14:paraId="76CBE875" w14:textId="77777777" w:rsidTr="00AA0A6A">
        <w:tc>
          <w:tcPr>
            <w:tcW w:w="1562" w:type="dxa"/>
            <w:tcBorders>
              <w:top w:val="single" w:sz="4" w:space="0" w:color="auto"/>
              <w:left w:val="single" w:sz="4" w:space="0" w:color="auto"/>
              <w:bottom w:val="single" w:sz="4" w:space="0" w:color="auto"/>
              <w:right w:val="single" w:sz="4" w:space="0" w:color="auto"/>
            </w:tcBorders>
          </w:tcPr>
          <w:p w14:paraId="1C370A3D"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06908853" w14:textId="77777777" w:rsidR="00820F60" w:rsidRPr="00D9232D" w:rsidRDefault="00820F60" w:rsidP="00AA0A6A">
            <w:pPr>
              <w:spacing w:line="360" w:lineRule="auto"/>
              <w:rPr>
                <w:sz w:val="24"/>
                <w:szCs w:val="24"/>
                <w:lang w:val="en-GB"/>
              </w:rPr>
            </w:pPr>
            <w:r w:rsidRPr="00D9232D">
              <w:rPr>
                <w:sz w:val="24"/>
                <w:szCs w:val="24"/>
                <w:lang w:val="en-GB"/>
              </w:rPr>
              <w:t>Girls</w:t>
            </w:r>
          </w:p>
        </w:tc>
        <w:tc>
          <w:tcPr>
            <w:tcW w:w="1240" w:type="dxa"/>
            <w:tcBorders>
              <w:top w:val="single" w:sz="4" w:space="0" w:color="auto"/>
              <w:left w:val="single" w:sz="4" w:space="0" w:color="auto"/>
              <w:bottom w:val="single" w:sz="4" w:space="0" w:color="auto"/>
              <w:right w:val="single" w:sz="4" w:space="0" w:color="auto"/>
            </w:tcBorders>
          </w:tcPr>
          <w:p w14:paraId="71CA9A89" w14:textId="77777777" w:rsidR="00820F60" w:rsidRPr="00D9232D" w:rsidRDefault="00820F60" w:rsidP="00AA0A6A">
            <w:pPr>
              <w:spacing w:line="360" w:lineRule="auto"/>
              <w:rPr>
                <w:sz w:val="24"/>
                <w:szCs w:val="24"/>
                <w:lang w:val="en-GB"/>
              </w:rPr>
            </w:pPr>
            <w:r w:rsidRPr="00D9232D">
              <w:rPr>
                <w:sz w:val="24"/>
                <w:szCs w:val="24"/>
                <w:lang w:val="en-GB"/>
              </w:rPr>
              <w:t>50.8</w:t>
            </w:r>
          </w:p>
        </w:tc>
        <w:tc>
          <w:tcPr>
            <w:tcW w:w="1099" w:type="dxa"/>
            <w:tcBorders>
              <w:top w:val="single" w:sz="4" w:space="0" w:color="auto"/>
              <w:left w:val="single" w:sz="4" w:space="0" w:color="auto"/>
              <w:bottom w:val="single" w:sz="4" w:space="0" w:color="auto"/>
              <w:right w:val="single" w:sz="4" w:space="0" w:color="auto"/>
            </w:tcBorders>
          </w:tcPr>
          <w:p w14:paraId="0497776E" w14:textId="77777777" w:rsidR="00820F60" w:rsidRPr="00D9232D" w:rsidRDefault="00820F60" w:rsidP="00AA0A6A">
            <w:pPr>
              <w:spacing w:line="360" w:lineRule="auto"/>
              <w:rPr>
                <w:sz w:val="24"/>
                <w:szCs w:val="24"/>
                <w:lang w:val="en-GB"/>
              </w:rPr>
            </w:pPr>
            <w:r w:rsidRPr="00D9232D">
              <w:rPr>
                <w:sz w:val="24"/>
                <w:szCs w:val="24"/>
                <w:lang w:val="en-GB"/>
              </w:rPr>
              <w:t>68.3</w:t>
            </w:r>
          </w:p>
        </w:tc>
        <w:tc>
          <w:tcPr>
            <w:tcW w:w="1119" w:type="dxa"/>
            <w:tcBorders>
              <w:top w:val="single" w:sz="4" w:space="0" w:color="auto"/>
              <w:left w:val="single" w:sz="4" w:space="0" w:color="auto"/>
              <w:bottom w:val="single" w:sz="4" w:space="0" w:color="auto"/>
              <w:right w:val="single" w:sz="4" w:space="0" w:color="auto"/>
            </w:tcBorders>
          </w:tcPr>
          <w:p w14:paraId="41CD5B9A" w14:textId="77777777" w:rsidR="00820F60" w:rsidRPr="00D9232D" w:rsidRDefault="00820F60" w:rsidP="00AA0A6A">
            <w:pPr>
              <w:spacing w:line="360" w:lineRule="auto"/>
              <w:rPr>
                <w:sz w:val="24"/>
                <w:szCs w:val="24"/>
                <w:lang w:val="en-GB"/>
              </w:rPr>
            </w:pPr>
            <w:r w:rsidRPr="00D9232D">
              <w:rPr>
                <w:sz w:val="24"/>
                <w:szCs w:val="24"/>
                <w:lang w:val="en-GB"/>
              </w:rPr>
              <w:t>78.5</w:t>
            </w:r>
          </w:p>
        </w:tc>
        <w:tc>
          <w:tcPr>
            <w:tcW w:w="1119" w:type="dxa"/>
            <w:tcBorders>
              <w:top w:val="single" w:sz="4" w:space="0" w:color="auto"/>
              <w:left w:val="single" w:sz="4" w:space="0" w:color="auto"/>
              <w:bottom w:val="single" w:sz="4" w:space="0" w:color="auto"/>
              <w:right w:val="single" w:sz="4" w:space="0" w:color="auto"/>
            </w:tcBorders>
          </w:tcPr>
          <w:p w14:paraId="7E3FF5F6" w14:textId="77777777" w:rsidR="00820F60" w:rsidRPr="00D9232D" w:rsidRDefault="00820F60" w:rsidP="00AA0A6A">
            <w:pPr>
              <w:spacing w:line="360" w:lineRule="auto"/>
              <w:rPr>
                <w:sz w:val="24"/>
                <w:szCs w:val="24"/>
                <w:lang w:val="en-GB"/>
              </w:rPr>
            </w:pPr>
            <w:r w:rsidRPr="00D9232D">
              <w:rPr>
                <w:sz w:val="24"/>
                <w:szCs w:val="24"/>
                <w:lang w:val="en-GB"/>
              </w:rPr>
              <w:t>23.7</w:t>
            </w:r>
          </w:p>
        </w:tc>
      </w:tr>
      <w:tr w:rsidR="00820F60" w:rsidRPr="00D9232D" w14:paraId="24E8AA4B" w14:textId="77777777" w:rsidTr="00AA0A6A">
        <w:tc>
          <w:tcPr>
            <w:tcW w:w="1562" w:type="dxa"/>
            <w:tcBorders>
              <w:top w:val="single" w:sz="4" w:space="0" w:color="auto"/>
              <w:left w:val="single" w:sz="4" w:space="0" w:color="auto"/>
              <w:bottom w:val="single" w:sz="4" w:space="0" w:color="auto"/>
              <w:right w:val="single" w:sz="4" w:space="0" w:color="auto"/>
            </w:tcBorders>
          </w:tcPr>
          <w:p w14:paraId="07A1C7B8" w14:textId="77777777" w:rsidR="00820F60" w:rsidRPr="00D9232D" w:rsidRDefault="00820F60" w:rsidP="00AA0A6A">
            <w:pPr>
              <w:spacing w:line="360" w:lineRule="auto"/>
              <w:rPr>
                <w:sz w:val="24"/>
                <w:szCs w:val="24"/>
                <w:lang w:val="en-GB"/>
              </w:rPr>
            </w:pPr>
            <w:r w:rsidRPr="00D9232D">
              <w:rPr>
                <w:sz w:val="24"/>
                <w:szCs w:val="24"/>
                <w:lang w:val="en-GB"/>
              </w:rPr>
              <w:t>Region</w:t>
            </w:r>
          </w:p>
        </w:tc>
        <w:tc>
          <w:tcPr>
            <w:tcW w:w="1568" w:type="dxa"/>
            <w:tcBorders>
              <w:top w:val="single" w:sz="4" w:space="0" w:color="auto"/>
              <w:left w:val="single" w:sz="4" w:space="0" w:color="auto"/>
              <w:bottom w:val="single" w:sz="4" w:space="0" w:color="auto"/>
              <w:right w:val="single" w:sz="4" w:space="0" w:color="auto"/>
            </w:tcBorders>
          </w:tcPr>
          <w:p w14:paraId="64779105" w14:textId="1C3A7B15" w:rsidR="00820F60" w:rsidRPr="00D9232D" w:rsidRDefault="00820F60" w:rsidP="00AA0A6A">
            <w:pPr>
              <w:spacing w:line="360" w:lineRule="auto"/>
              <w:rPr>
                <w:sz w:val="24"/>
                <w:szCs w:val="24"/>
                <w:lang w:val="en-GB"/>
              </w:rPr>
            </w:pPr>
            <w:r w:rsidRPr="00D9232D">
              <w:rPr>
                <w:sz w:val="24"/>
                <w:szCs w:val="24"/>
                <w:lang w:val="en-GB"/>
              </w:rPr>
              <w:t>America</w:t>
            </w:r>
            <w:r w:rsidR="00C82E6D">
              <w:rPr>
                <w:sz w:val="24"/>
                <w:szCs w:val="24"/>
                <w:lang w:val="en-GB"/>
              </w:rPr>
              <w:t>s</w:t>
            </w:r>
            <w:r w:rsidRPr="00D9232D">
              <w:rPr>
                <w:sz w:val="24"/>
                <w:szCs w:val="24"/>
                <w:lang w:val="en-GB"/>
              </w:rPr>
              <w:t xml:space="preserve"> A</w:t>
            </w:r>
          </w:p>
        </w:tc>
        <w:tc>
          <w:tcPr>
            <w:tcW w:w="1240" w:type="dxa"/>
            <w:tcBorders>
              <w:top w:val="single" w:sz="4" w:space="0" w:color="auto"/>
              <w:left w:val="single" w:sz="4" w:space="0" w:color="auto"/>
              <w:bottom w:val="single" w:sz="4" w:space="0" w:color="auto"/>
              <w:right w:val="single" w:sz="4" w:space="0" w:color="auto"/>
            </w:tcBorders>
          </w:tcPr>
          <w:p w14:paraId="5A0348FA" w14:textId="77777777" w:rsidR="00820F60" w:rsidRPr="00D9232D" w:rsidRDefault="00820F60" w:rsidP="00AA0A6A">
            <w:pPr>
              <w:spacing w:line="360" w:lineRule="auto"/>
              <w:rPr>
                <w:sz w:val="24"/>
                <w:szCs w:val="24"/>
                <w:lang w:val="en-GB"/>
              </w:rPr>
            </w:pPr>
            <w:r w:rsidRPr="00D9232D">
              <w:rPr>
                <w:sz w:val="24"/>
                <w:szCs w:val="24"/>
                <w:lang w:val="en-GB"/>
              </w:rPr>
              <w:t>1.3</w:t>
            </w:r>
          </w:p>
        </w:tc>
        <w:tc>
          <w:tcPr>
            <w:tcW w:w="1099" w:type="dxa"/>
            <w:tcBorders>
              <w:top w:val="single" w:sz="4" w:space="0" w:color="auto"/>
              <w:left w:val="single" w:sz="4" w:space="0" w:color="auto"/>
              <w:bottom w:val="single" w:sz="4" w:space="0" w:color="auto"/>
              <w:right w:val="single" w:sz="4" w:space="0" w:color="auto"/>
            </w:tcBorders>
          </w:tcPr>
          <w:p w14:paraId="4B1388B2" w14:textId="77777777" w:rsidR="00820F60" w:rsidRPr="00D9232D" w:rsidRDefault="00820F60" w:rsidP="00AA0A6A">
            <w:pPr>
              <w:spacing w:line="360" w:lineRule="auto"/>
              <w:rPr>
                <w:sz w:val="24"/>
                <w:szCs w:val="24"/>
                <w:lang w:val="en-GB"/>
              </w:rPr>
            </w:pPr>
            <w:r w:rsidRPr="00D9232D">
              <w:rPr>
                <w:sz w:val="24"/>
                <w:szCs w:val="24"/>
                <w:lang w:val="en-GB"/>
              </w:rPr>
              <w:t>77.5</w:t>
            </w:r>
          </w:p>
        </w:tc>
        <w:tc>
          <w:tcPr>
            <w:tcW w:w="1119" w:type="dxa"/>
            <w:tcBorders>
              <w:top w:val="single" w:sz="4" w:space="0" w:color="auto"/>
              <w:left w:val="single" w:sz="4" w:space="0" w:color="auto"/>
              <w:bottom w:val="single" w:sz="4" w:space="0" w:color="auto"/>
              <w:right w:val="single" w:sz="4" w:space="0" w:color="auto"/>
            </w:tcBorders>
          </w:tcPr>
          <w:p w14:paraId="476FE164" w14:textId="77777777" w:rsidR="00820F60" w:rsidRPr="00D9232D" w:rsidRDefault="00820F60" w:rsidP="00AA0A6A">
            <w:pPr>
              <w:spacing w:line="360" w:lineRule="auto"/>
              <w:rPr>
                <w:sz w:val="24"/>
                <w:szCs w:val="24"/>
                <w:lang w:val="en-GB"/>
              </w:rPr>
            </w:pPr>
            <w:r w:rsidRPr="00D9232D">
              <w:rPr>
                <w:sz w:val="24"/>
                <w:szCs w:val="24"/>
                <w:lang w:val="en-GB"/>
              </w:rPr>
              <w:t>82.6</w:t>
            </w:r>
          </w:p>
        </w:tc>
        <w:tc>
          <w:tcPr>
            <w:tcW w:w="1119" w:type="dxa"/>
            <w:tcBorders>
              <w:top w:val="single" w:sz="4" w:space="0" w:color="auto"/>
              <w:left w:val="single" w:sz="4" w:space="0" w:color="auto"/>
              <w:bottom w:val="single" w:sz="4" w:space="0" w:color="auto"/>
              <w:right w:val="single" w:sz="4" w:space="0" w:color="auto"/>
            </w:tcBorders>
          </w:tcPr>
          <w:p w14:paraId="2A26932B" w14:textId="77777777" w:rsidR="00820F60" w:rsidRPr="00D9232D" w:rsidRDefault="00820F60" w:rsidP="00AA0A6A">
            <w:pPr>
              <w:spacing w:line="360" w:lineRule="auto"/>
              <w:rPr>
                <w:sz w:val="24"/>
                <w:szCs w:val="24"/>
                <w:lang w:val="en-GB"/>
              </w:rPr>
            </w:pPr>
            <w:r w:rsidRPr="00D9232D">
              <w:rPr>
                <w:sz w:val="24"/>
                <w:szCs w:val="24"/>
                <w:lang w:val="en-GB"/>
              </w:rPr>
              <w:t>38.6</w:t>
            </w:r>
          </w:p>
        </w:tc>
      </w:tr>
      <w:tr w:rsidR="00820F60" w:rsidRPr="00D9232D" w14:paraId="5B6C9A77" w14:textId="77777777" w:rsidTr="00AA0A6A">
        <w:tc>
          <w:tcPr>
            <w:tcW w:w="1562" w:type="dxa"/>
            <w:tcBorders>
              <w:top w:val="single" w:sz="4" w:space="0" w:color="auto"/>
              <w:left w:val="single" w:sz="4" w:space="0" w:color="auto"/>
              <w:bottom w:val="single" w:sz="4" w:space="0" w:color="auto"/>
              <w:right w:val="single" w:sz="4" w:space="0" w:color="auto"/>
            </w:tcBorders>
          </w:tcPr>
          <w:p w14:paraId="0CD9D8A4"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1C58B371" w14:textId="0A909226" w:rsidR="00820F60" w:rsidRPr="00D9232D" w:rsidRDefault="00820F60" w:rsidP="00AA0A6A">
            <w:pPr>
              <w:spacing w:line="360" w:lineRule="auto"/>
              <w:rPr>
                <w:sz w:val="24"/>
                <w:szCs w:val="24"/>
                <w:lang w:val="en-GB"/>
              </w:rPr>
            </w:pPr>
            <w:r w:rsidRPr="00D9232D">
              <w:rPr>
                <w:sz w:val="24"/>
                <w:szCs w:val="24"/>
                <w:lang w:val="en-GB"/>
              </w:rPr>
              <w:t>America</w:t>
            </w:r>
            <w:r w:rsidR="00C82E6D">
              <w:rPr>
                <w:sz w:val="24"/>
                <w:szCs w:val="24"/>
                <w:lang w:val="en-GB"/>
              </w:rPr>
              <w:t>s</w:t>
            </w:r>
            <w:r w:rsidRPr="00D9232D">
              <w:rPr>
                <w:sz w:val="24"/>
                <w:szCs w:val="24"/>
                <w:lang w:val="en-GB"/>
              </w:rPr>
              <w:t xml:space="preserve"> B/C</w:t>
            </w:r>
          </w:p>
        </w:tc>
        <w:tc>
          <w:tcPr>
            <w:tcW w:w="1240" w:type="dxa"/>
            <w:tcBorders>
              <w:top w:val="single" w:sz="4" w:space="0" w:color="auto"/>
              <w:left w:val="single" w:sz="4" w:space="0" w:color="auto"/>
              <w:bottom w:val="single" w:sz="4" w:space="0" w:color="auto"/>
              <w:right w:val="single" w:sz="4" w:space="0" w:color="auto"/>
            </w:tcBorders>
          </w:tcPr>
          <w:p w14:paraId="11E8C1CE" w14:textId="77777777" w:rsidR="00820F60" w:rsidRPr="00D9232D" w:rsidRDefault="00820F60" w:rsidP="00AA0A6A">
            <w:pPr>
              <w:spacing w:line="360" w:lineRule="auto"/>
              <w:rPr>
                <w:sz w:val="24"/>
                <w:szCs w:val="24"/>
                <w:lang w:val="en-GB"/>
              </w:rPr>
            </w:pPr>
            <w:r w:rsidRPr="00D9232D">
              <w:rPr>
                <w:sz w:val="24"/>
                <w:szCs w:val="24"/>
                <w:lang w:val="en-GB"/>
              </w:rPr>
              <w:t>11.6</w:t>
            </w:r>
          </w:p>
        </w:tc>
        <w:tc>
          <w:tcPr>
            <w:tcW w:w="1099" w:type="dxa"/>
            <w:tcBorders>
              <w:top w:val="single" w:sz="4" w:space="0" w:color="auto"/>
              <w:left w:val="single" w:sz="4" w:space="0" w:color="auto"/>
              <w:bottom w:val="single" w:sz="4" w:space="0" w:color="auto"/>
              <w:right w:val="single" w:sz="4" w:space="0" w:color="auto"/>
            </w:tcBorders>
          </w:tcPr>
          <w:p w14:paraId="295FC7D1" w14:textId="77777777" w:rsidR="00820F60" w:rsidRPr="00D9232D" w:rsidRDefault="00820F60" w:rsidP="00AA0A6A">
            <w:pPr>
              <w:spacing w:line="360" w:lineRule="auto"/>
              <w:rPr>
                <w:sz w:val="24"/>
                <w:szCs w:val="24"/>
                <w:lang w:val="en-GB"/>
              </w:rPr>
            </w:pPr>
            <w:r w:rsidRPr="00D9232D">
              <w:rPr>
                <w:sz w:val="24"/>
                <w:szCs w:val="24"/>
                <w:lang w:val="en-GB"/>
              </w:rPr>
              <w:t>66.2</w:t>
            </w:r>
          </w:p>
        </w:tc>
        <w:tc>
          <w:tcPr>
            <w:tcW w:w="1119" w:type="dxa"/>
            <w:tcBorders>
              <w:top w:val="single" w:sz="4" w:space="0" w:color="auto"/>
              <w:left w:val="single" w:sz="4" w:space="0" w:color="auto"/>
              <w:bottom w:val="single" w:sz="4" w:space="0" w:color="auto"/>
              <w:right w:val="single" w:sz="4" w:space="0" w:color="auto"/>
            </w:tcBorders>
          </w:tcPr>
          <w:p w14:paraId="5A815772" w14:textId="77777777" w:rsidR="00820F60" w:rsidRPr="00D9232D" w:rsidRDefault="00820F60" w:rsidP="00AA0A6A">
            <w:pPr>
              <w:spacing w:line="360" w:lineRule="auto"/>
              <w:rPr>
                <w:sz w:val="24"/>
                <w:szCs w:val="24"/>
                <w:lang w:val="en-GB"/>
              </w:rPr>
            </w:pPr>
            <w:r w:rsidRPr="00D9232D">
              <w:rPr>
                <w:sz w:val="24"/>
                <w:szCs w:val="24"/>
                <w:lang w:val="en-GB"/>
              </w:rPr>
              <w:t>72.0</w:t>
            </w:r>
          </w:p>
        </w:tc>
        <w:tc>
          <w:tcPr>
            <w:tcW w:w="1119" w:type="dxa"/>
            <w:tcBorders>
              <w:top w:val="single" w:sz="4" w:space="0" w:color="auto"/>
              <w:left w:val="single" w:sz="4" w:space="0" w:color="auto"/>
              <w:bottom w:val="single" w:sz="4" w:space="0" w:color="auto"/>
              <w:right w:val="single" w:sz="4" w:space="0" w:color="auto"/>
            </w:tcBorders>
          </w:tcPr>
          <w:p w14:paraId="2F0484EF" w14:textId="77777777" w:rsidR="00820F60" w:rsidRPr="00D9232D" w:rsidRDefault="00820F60" w:rsidP="00AA0A6A">
            <w:pPr>
              <w:spacing w:line="360" w:lineRule="auto"/>
              <w:rPr>
                <w:sz w:val="24"/>
                <w:szCs w:val="24"/>
                <w:lang w:val="en-GB"/>
              </w:rPr>
            </w:pPr>
            <w:r w:rsidRPr="00D9232D">
              <w:rPr>
                <w:sz w:val="24"/>
                <w:szCs w:val="24"/>
                <w:lang w:val="en-GB"/>
              </w:rPr>
              <w:t>21.8</w:t>
            </w:r>
          </w:p>
        </w:tc>
      </w:tr>
      <w:tr w:rsidR="00820F60" w:rsidRPr="00D9232D" w14:paraId="0ABBE724" w14:textId="77777777" w:rsidTr="00AA0A6A">
        <w:tc>
          <w:tcPr>
            <w:tcW w:w="1562" w:type="dxa"/>
            <w:tcBorders>
              <w:top w:val="single" w:sz="4" w:space="0" w:color="auto"/>
              <w:left w:val="single" w:sz="4" w:space="0" w:color="auto"/>
              <w:bottom w:val="single" w:sz="4" w:space="0" w:color="auto"/>
              <w:right w:val="single" w:sz="4" w:space="0" w:color="auto"/>
            </w:tcBorders>
          </w:tcPr>
          <w:p w14:paraId="706EB8AB"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62AF7879" w14:textId="77777777" w:rsidR="00820F60" w:rsidRPr="00D9232D" w:rsidRDefault="00820F60" w:rsidP="00AA0A6A">
            <w:pPr>
              <w:spacing w:line="360" w:lineRule="auto"/>
              <w:rPr>
                <w:sz w:val="24"/>
                <w:szCs w:val="24"/>
                <w:lang w:val="en-GB"/>
              </w:rPr>
            </w:pPr>
            <w:r w:rsidRPr="00D9232D">
              <w:rPr>
                <w:sz w:val="24"/>
                <w:szCs w:val="24"/>
                <w:lang w:val="en-GB"/>
              </w:rPr>
              <w:t>Eastern Mediterranean</w:t>
            </w:r>
          </w:p>
        </w:tc>
        <w:tc>
          <w:tcPr>
            <w:tcW w:w="1240" w:type="dxa"/>
            <w:tcBorders>
              <w:top w:val="single" w:sz="4" w:space="0" w:color="auto"/>
              <w:left w:val="single" w:sz="4" w:space="0" w:color="auto"/>
              <w:bottom w:val="single" w:sz="4" w:space="0" w:color="auto"/>
              <w:right w:val="single" w:sz="4" w:space="0" w:color="auto"/>
            </w:tcBorders>
          </w:tcPr>
          <w:p w14:paraId="00AD99A5" w14:textId="77777777" w:rsidR="00820F60" w:rsidRPr="00D9232D" w:rsidRDefault="00820F60" w:rsidP="00AA0A6A">
            <w:pPr>
              <w:spacing w:line="360" w:lineRule="auto"/>
              <w:rPr>
                <w:sz w:val="24"/>
                <w:szCs w:val="24"/>
                <w:lang w:val="en-GB"/>
              </w:rPr>
            </w:pPr>
            <w:r w:rsidRPr="00D9232D">
              <w:rPr>
                <w:sz w:val="24"/>
                <w:szCs w:val="24"/>
                <w:lang w:val="en-GB"/>
              </w:rPr>
              <w:t>7.8</w:t>
            </w:r>
          </w:p>
        </w:tc>
        <w:tc>
          <w:tcPr>
            <w:tcW w:w="1099" w:type="dxa"/>
            <w:tcBorders>
              <w:top w:val="single" w:sz="4" w:space="0" w:color="auto"/>
              <w:left w:val="single" w:sz="4" w:space="0" w:color="auto"/>
              <w:bottom w:val="single" w:sz="4" w:space="0" w:color="auto"/>
              <w:right w:val="single" w:sz="4" w:space="0" w:color="auto"/>
            </w:tcBorders>
          </w:tcPr>
          <w:p w14:paraId="1EEC00B2" w14:textId="77777777" w:rsidR="00820F60" w:rsidRPr="00D9232D" w:rsidRDefault="00820F60" w:rsidP="00AA0A6A">
            <w:pPr>
              <w:spacing w:line="360" w:lineRule="auto"/>
              <w:rPr>
                <w:sz w:val="24"/>
                <w:szCs w:val="24"/>
                <w:lang w:val="en-GB"/>
              </w:rPr>
            </w:pPr>
            <w:r w:rsidRPr="00D9232D">
              <w:rPr>
                <w:sz w:val="24"/>
                <w:szCs w:val="24"/>
                <w:lang w:val="en-GB"/>
              </w:rPr>
              <w:t>62.7</w:t>
            </w:r>
          </w:p>
        </w:tc>
        <w:tc>
          <w:tcPr>
            <w:tcW w:w="1119" w:type="dxa"/>
            <w:tcBorders>
              <w:top w:val="single" w:sz="4" w:space="0" w:color="auto"/>
              <w:left w:val="single" w:sz="4" w:space="0" w:color="auto"/>
              <w:bottom w:val="single" w:sz="4" w:space="0" w:color="auto"/>
              <w:right w:val="single" w:sz="4" w:space="0" w:color="auto"/>
            </w:tcBorders>
          </w:tcPr>
          <w:p w14:paraId="5EE37784" w14:textId="77777777" w:rsidR="00820F60" w:rsidRPr="00D9232D" w:rsidRDefault="00820F60" w:rsidP="00AA0A6A">
            <w:pPr>
              <w:spacing w:line="360" w:lineRule="auto"/>
              <w:rPr>
                <w:sz w:val="24"/>
                <w:szCs w:val="24"/>
                <w:lang w:val="en-GB"/>
              </w:rPr>
            </w:pPr>
            <w:r w:rsidRPr="00D9232D">
              <w:rPr>
                <w:sz w:val="24"/>
                <w:szCs w:val="24"/>
                <w:lang w:val="en-GB"/>
              </w:rPr>
              <w:t>72.8</w:t>
            </w:r>
          </w:p>
        </w:tc>
        <w:tc>
          <w:tcPr>
            <w:tcW w:w="1119" w:type="dxa"/>
            <w:tcBorders>
              <w:top w:val="single" w:sz="4" w:space="0" w:color="auto"/>
              <w:left w:val="single" w:sz="4" w:space="0" w:color="auto"/>
              <w:bottom w:val="single" w:sz="4" w:space="0" w:color="auto"/>
              <w:right w:val="single" w:sz="4" w:space="0" w:color="auto"/>
            </w:tcBorders>
          </w:tcPr>
          <w:p w14:paraId="576CF9E7" w14:textId="77777777" w:rsidR="00820F60" w:rsidRPr="00D9232D" w:rsidRDefault="00820F60" w:rsidP="00AA0A6A">
            <w:pPr>
              <w:spacing w:line="360" w:lineRule="auto"/>
              <w:rPr>
                <w:sz w:val="24"/>
                <w:szCs w:val="24"/>
                <w:lang w:val="en-GB"/>
              </w:rPr>
            </w:pPr>
            <w:r w:rsidRPr="00D9232D">
              <w:rPr>
                <w:sz w:val="24"/>
                <w:szCs w:val="24"/>
                <w:lang w:val="en-GB"/>
              </w:rPr>
              <w:t>17.9</w:t>
            </w:r>
          </w:p>
        </w:tc>
      </w:tr>
      <w:tr w:rsidR="00820F60" w:rsidRPr="00D9232D" w14:paraId="2ED2CE17" w14:textId="77777777" w:rsidTr="00AA0A6A">
        <w:tc>
          <w:tcPr>
            <w:tcW w:w="1562" w:type="dxa"/>
            <w:tcBorders>
              <w:top w:val="single" w:sz="4" w:space="0" w:color="auto"/>
              <w:left w:val="single" w:sz="4" w:space="0" w:color="auto"/>
              <w:bottom w:val="single" w:sz="4" w:space="0" w:color="auto"/>
              <w:right w:val="single" w:sz="4" w:space="0" w:color="auto"/>
            </w:tcBorders>
          </w:tcPr>
          <w:p w14:paraId="659F09D9"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2149A566" w14:textId="77777777" w:rsidR="00820F60" w:rsidRPr="00D9232D" w:rsidRDefault="00820F60" w:rsidP="00AA0A6A">
            <w:pPr>
              <w:spacing w:line="360" w:lineRule="auto"/>
              <w:rPr>
                <w:sz w:val="24"/>
                <w:szCs w:val="24"/>
                <w:lang w:val="en-GB"/>
              </w:rPr>
            </w:pPr>
            <w:r w:rsidRPr="00D9232D">
              <w:rPr>
                <w:sz w:val="24"/>
                <w:szCs w:val="24"/>
                <w:lang w:val="en-GB"/>
              </w:rPr>
              <w:t>Europe A</w:t>
            </w:r>
          </w:p>
        </w:tc>
        <w:tc>
          <w:tcPr>
            <w:tcW w:w="1240" w:type="dxa"/>
            <w:tcBorders>
              <w:top w:val="single" w:sz="4" w:space="0" w:color="auto"/>
              <w:left w:val="single" w:sz="4" w:space="0" w:color="auto"/>
              <w:bottom w:val="single" w:sz="4" w:space="0" w:color="auto"/>
              <w:right w:val="single" w:sz="4" w:space="0" w:color="auto"/>
            </w:tcBorders>
          </w:tcPr>
          <w:p w14:paraId="215AEC2F" w14:textId="77777777" w:rsidR="00820F60" w:rsidRPr="00D9232D" w:rsidRDefault="00820F60" w:rsidP="00AA0A6A">
            <w:pPr>
              <w:spacing w:line="360" w:lineRule="auto"/>
              <w:rPr>
                <w:sz w:val="24"/>
                <w:szCs w:val="24"/>
                <w:lang w:val="en-GB"/>
              </w:rPr>
            </w:pPr>
            <w:r w:rsidRPr="00D9232D">
              <w:rPr>
                <w:sz w:val="24"/>
                <w:szCs w:val="24"/>
                <w:lang w:val="en-GB"/>
              </w:rPr>
              <w:t>32.9</w:t>
            </w:r>
          </w:p>
        </w:tc>
        <w:tc>
          <w:tcPr>
            <w:tcW w:w="1099" w:type="dxa"/>
            <w:tcBorders>
              <w:top w:val="single" w:sz="4" w:space="0" w:color="auto"/>
              <w:left w:val="single" w:sz="4" w:space="0" w:color="auto"/>
              <w:bottom w:val="single" w:sz="4" w:space="0" w:color="auto"/>
              <w:right w:val="single" w:sz="4" w:space="0" w:color="auto"/>
            </w:tcBorders>
          </w:tcPr>
          <w:p w14:paraId="38238E68" w14:textId="77777777" w:rsidR="00820F60" w:rsidRPr="00D9232D" w:rsidRDefault="00820F60" w:rsidP="00AA0A6A">
            <w:pPr>
              <w:spacing w:line="360" w:lineRule="auto"/>
              <w:rPr>
                <w:sz w:val="24"/>
                <w:szCs w:val="24"/>
                <w:lang w:val="en-GB"/>
              </w:rPr>
            </w:pPr>
            <w:r w:rsidRPr="00D9232D">
              <w:rPr>
                <w:sz w:val="24"/>
                <w:szCs w:val="24"/>
                <w:lang w:val="en-GB"/>
              </w:rPr>
              <w:t>73.0</w:t>
            </w:r>
          </w:p>
        </w:tc>
        <w:tc>
          <w:tcPr>
            <w:tcW w:w="1119" w:type="dxa"/>
            <w:tcBorders>
              <w:top w:val="single" w:sz="4" w:space="0" w:color="auto"/>
              <w:left w:val="single" w:sz="4" w:space="0" w:color="auto"/>
              <w:bottom w:val="single" w:sz="4" w:space="0" w:color="auto"/>
              <w:right w:val="single" w:sz="4" w:space="0" w:color="auto"/>
            </w:tcBorders>
          </w:tcPr>
          <w:p w14:paraId="471B029F" w14:textId="77777777" w:rsidR="00820F60" w:rsidRPr="00D9232D" w:rsidRDefault="00820F60" w:rsidP="00AA0A6A">
            <w:pPr>
              <w:spacing w:line="360" w:lineRule="auto"/>
              <w:rPr>
                <w:sz w:val="24"/>
                <w:szCs w:val="24"/>
                <w:lang w:val="en-GB"/>
              </w:rPr>
            </w:pPr>
            <w:r w:rsidRPr="00D9232D">
              <w:rPr>
                <w:sz w:val="24"/>
                <w:szCs w:val="24"/>
                <w:lang w:val="en-GB"/>
              </w:rPr>
              <w:t>82.9</w:t>
            </w:r>
          </w:p>
        </w:tc>
        <w:tc>
          <w:tcPr>
            <w:tcW w:w="1119" w:type="dxa"/>
            <w:tcBorders>
              <w:top w:val="single" w:sz="4" w:space="0" w:color="auto"/>
              <w:left w:val="single" w:sz="4" w:space="0" w:color="auto"/>
              <w:bottom w:val="single" w:sz="4" w:space="0" w:color="auto"/>
              <w:right w:val="single" w:sz="4" w:space="0" w:color="auto"/>
            </w:tcBorders>
          </w:tcPr>
          <w:p w14:paraId="72407B9B" w14:textId="77777777" w:rsidR="00820F60" w:rsidRPr="00D9232D" w:rsidRDefault="00820F60" w:rsidP="00AA0A6A">
            <w:pPr>
              <w:spacing w:line="360" w:lineRule="auto"/>
              <w:rPr>
                <w:sz w:val="24"/>
                <w:szCs w:val="24"/>
                <w:lang w:val="en-GB"/>
              </w:rPr>
            </w:pPr>
            <w:r w:rsidRPr="00D9232D">
              <w:rPr>
                <w:sz w:val="24"/>
                <w:szCs w:val="24"/>
                <w:lang w:val="en-GB"/>
              </w:rPr>
              <w:t>23.0</w:t>
            </w:r>
          </w:p>
        </w:tc>
      </w:tr>
      <w:tr w:rsidR="00820F60" w:rsidRPr="00D9232D" w14:paraId="31CA5865" w14:textId="77777777" w:rsidTr="00AA0A6A">
        <w:tc>
          <w:tcPr>
            <w:tcW w:w="1562" w:type="dxa"/>
            <w:tcBorders>
              <w:top w:val="single" w:sz="4" w:space="0" w:color="auto"/>
              <w:left w:val="single" w:sz="4" w:space="0" w:color="auto"/>
              <w:bottom w:val="single" w:sz="4" w:space="0" w:color="auto"/>
              <w:right w:val="single" w:sz="4" w:space="0" w:color="auto"/>
            </w:tcBorders>
          </w:tcPr>
          <w:p w14:paraId="683907AB"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6EE8179D" w14:textId="77777777" w:rsidR="00820F60" w:rsidRPr="00D9232D" w:rsidRDefault="00820F60" w:rsidP="00AA0A6A">
            <w:pPr>
              <w:spacing w:line="360" w:lineRule="auto"/>
              <w:rPr>
                <w:sz w:val="24"/>
                <w:szCs w:val="24"/>
                <w:lang w:val="en-GB"/>
              </w:rPr>
            </w:pPr>
            <w:r w:rsidRPr="00D9232D">
              <w:rPr>
                <w:sz w:val="24"/>
                <w:szCs w:val="24"/>
                <w:lang w:val="en-GB"/>
              </w:rPr>
              <w:t>Europe B/C</w:t>
            </w:r>
          </w:p>
        </w:tc>
        <w:tc>
          <w:tcPr>
            <w:tcW w:w="1240" w:type="dxa"/>
            <w:tcBorders>
              <w:top w:val="single" w:sz="4" w:space="0" w:color="auto"/>
              <w:left w:val="single" w:sz="4" w:space="0" w:color="auto"/>
              <w:bottom w:val="single" w:sz="4" w:space="0" w:color="auto"/>
              <w:right w:val="single" w:sz="4" w:space="0" w:color="auto"/>
            </w:tcBorders>
          </w:tcPr>
          <w:p w14:paraId="58DEE2D6" w14:textId="77777777" w:rsidR="00820F60" w:rsidRPr="00D9232D" w:rsidRDefault="00820F60" w:rsidP="00AA0A6A">
            <w:pPr>
              <w:spacing w:line="360" w:lineRule="auto"/>
              <w:rPr>
                <w:sz w:val="24"/>
                <w:szCs w:val="24"/>
                <w:lang w:val="en-GB"/>
              </w:rPr>
            </w:pPr>
            <w:r w:rsidRPr="00D9232D">
              <w:rPr>
                <w:sz w:val="24"/>
                <w:szCs w:val="24"/>
                <w:lang w:val="en-GB"/>
              </w:rPr>
              <w:t>25.0</w:t>
            </w:r>
          </w:p>
        </w:tc>
        <w:tc>
          <w:tcPr>
            <w:tcW w:w="1099" w:type="dxa"/>
            <w:tcBorders>
              <w:top w:val="single" w:sz="4" w:space="0" w:color="auto"/>
              <w:left w:val="single" w:sz="4" w:space="0" w:color="auto"/>
              <w:bottom w:val="single" w:sz="4" w:space="0" w:color="auto"/>
              <w:right w:val="single" w:sz="4" w:space="0" w:color="auto"/>
            </w:tcBorders>
          </w:tcPr>
          <w:p w14:paraId="79B10EDE" w14:textId="77777777" w:rsidR="00820F60" w:rsidRPr="00D9232D" w:rsidRDefault="00820F60" w:rsidP="00AA0A6A">
            <w:pPr>
              <w:spacing w:line="360" w:lineRule="auto"/>
              <w:rPr>
                <w:sz w:val="24"/>
                <w:szCs w:val="24"/>
                <w:lang w:val="en-GB"/>
              </w:rPr>
            </w:pPr>
            <w:r w:rsidRPr="00D9232D">
              <w:rPr>
                <w:sz w:val="24"/>
                <w:szCs w:val="24"/>
                <w:lang w:val="en-GB"/>
              </w:rPr>
              <w:t>64.2</w:t>
            </w:r>
          </w:p>
        </w:tc>
        <w:tc>
          <w:tcPr>
            <w:tcW w:w="1119" w:type="dxa"/>
            <w:tcBorders>
              <w:top w:val="single" w:sz="4" w:space="0" w:color="auto"/>
              <w:left w:val="single" w:sz="4" w:space="0" w:color="auto"/>
              <w:bottom w:val="single" w:sz="4" w:space="0" w:color="auto"/>
              <w:right w:val="single" w:sz="4" w:space="0" w:color="auto"/>
            </w:tcBorders>
          </w:tcPr>
          <w:p w14:paraId="189466C4" w14:textId="77777777" w:rsidR="00820F60" w:rsidRPr="00D9232D" w:rsidRDefault="00820F60" w:rsidP="00AA0A6A">
            <w:pPr>
              <w:spacing w:line="360" w:lineRule="auto"/>
              <w:rPr>
                <w:sz w:val="24"/>
                <w:szCs w:val="24"/>
                <w:lang w:val="en-GB"/>
              </w:rPr>
            </w:pPr>
            <w:r w:rsidRPr="00D9232D">
              <w:rPr>
                <w:sz w:val="24"/>
                <w:szCs w:val="24"/>
                <w:lang w:val="en-GB"/>
              </w:rPr>
              <w:t>73.3</w:t>
            </w:r>
          </w:p>
        </w:tc>
        <w:tc>
          <w:tcPr>
            <w:tcW w:w="1119" w:type="dxa"/>
            <w:tcBorders>
              <w:top w:val="single" w:sz="4" w:space="0" w:color="auto"/>
              <w:left w:val="single" w:sz="4" w:space="0" w:color="auto"/>
              <w:bottom w:val="single" w:sz="4" w:space="0" w:color="auto"/>
              <w:right w:val="single" w:sz="4" w:space="0" w:color="auto"/>
            </w:tcBorders>
          </w:tcPr>
          <w:p w14:paraId="10373A75" w14:textId="77777777" w:rsidR="00820F60" w:rsidRPr="00D9232D" w:rsidRDefault="00820F60" w:rsidP="00AA0A6A">
            <w:pPr>
              <w:spacing w:line="360" w:lineRule="auto"/>
              <w:rPr>
                <w:sz w:val="24"/>
                <w:szCs w:val="24"/>
                <w:lang w:val="en-GB"/>
              </w:rPr>
            </w:pPr>
            <w:r w:rsidRPr="00D9232D">
              <w:rPr>
                <w:sz w:val="24"/>
                <w:szCs w:val="24"/>
                <w:lang w:val="en-GB"/>
              </w:rPr>
              <w:t>24.7</w:t>
            </w:r>
          </w:p>
        </w:tc>
      </w:tr>
      <w:tr w:rsidR="00820F60" w:rsidRPr="00D9232D" w14:paraId="4F9BEC4E" w14:textId="77777777" w:rsidTr="00AA0A6A">
        <w:tc>
          <w:tcPr>
            <w:tcW w:w="1562" w:type="dxa"/>
            <w:tcBorders>
              <w:top w:val="single" w:sz="4" w:space="0" w:color="auto"/>
              <w:left w:val="single" w:sz="4" w:space="0" w:color="auto"/>
              <w:bottom w:val="single" w:sz="4" w:space="0" w:color="auto"/>
              <w:right w:val="single" w:sz="4" w:space="0" w:color="auto"/>
            </w:tcBorders>
          </w:tcPr>
          <w:p w14:paraId="3AADF5E1"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3EBE94C0" w14:textId="77777777" w:rsidR="00820F60" w:rsidRPr="00D9232D" w:rsidRDefault="00820F60" w:rsidP="00AA0A6A">
            <w:pPr>
              <w:spacing w:line="360" w:lineRule="auto"/>
              <w:rPr>
                <w:sz w:val="24"/>
                <w:szCs w:val="24"/>
                <w:lang w:val="en-GB"/>
              </w:rPr>
            </w:pPr>
            <w:r w:rsidRPr="00D9232D">
              <w:rPr>
                <w:sz w:val="24"/>
                <w:szCs w:val="24"/>
                <w:lang w:val="en-GB"/>
              </w:rPr>
              <w:t>South-East Asian &amp; Western Pacific</w:t>
            </w:r>
          </w:p>
        </w:tc>
        <w:tc>
          <w:tcPr>
            <w:tcW w:w="1240" w:type="dxa"/>
            <w:tcBorders>
              <w:top w:val="single" w:sz="4" w:space="0" w:color="auto"/>
              <w:left w:val="single" w:sz="4" w:space="0" w:color="auto"/>
              <w:bottom w:val="single" w:sz="4" w:space="0" w:color="auto"/>
              <w:right w:val="single" w:sz="4" w:space="0" w:color="auto"/>
            </w:tcBorders>
          </w:tcPr>
          <w:p w14:paraId="305D65B0" w14:textId="77777777" w:rsidR="00820F60" w:rsidRPr="00D9232D" w:rsidRDefault="00820F60" w:rsidP="00AA0A6A">
            <w:pPr>
              <w:spacing w:line="360" w:lineRule="auto"/>
              <w:rPr>
                <w:sz w:val="24"/>
                <w:szCs w:val="24"/>
                <w:lang w:val="en-GB"/>
              </w:rPr>
            </w:pPr>
            <w:r w:rsidRPr="00D9232D">
              <w:rPr>
                <w:sz w:val="24"/>
                <w:szCs w:val="24"/>
                <w:lang w:val="en-GB"/>
              </w:rPr>
              <w:t>19.9</w:t>
            </w:r>
          </w:p>
        </w:tc>
        <w:tc>
          <w:tcPr>
            <w:tcW w:w="1099" w:type="dxa"/>
            <w:tcBorders>
              <w:top w:val="single" w:sz="4" w:space="0" w:color="auto"/>
              <w:left w:val="single" w:sz="4" w:space="0" w:color="auto"/>
              <w:bottom w:val="single" w:sz="4" w:space="0" w:color="auto"/>
              <w:right w:val="single" w:sz="4" w:space="0" w:color="auto"/>
            </w:tcBorders>
          </w:tcPr>
          <w:p w14:paraId="0A12E5E9" w14:textId="77777777" w:rsidR="00820F60" w:rsidRPr="00D9232D" w:rsidRDefault="00820F60" w:rsidP="00AA0A6A">
            <w:pPr>
              <w:spacing w:line="360" w:lineRule="auto"/>
              <w:rPr>
                <w:sz w:val="24"/>
                <w:szCs w:val="24"/>
                <w:lang w:val="en-GB"/>
              </w:rPr>
            </w:pPr>
            <w:r w:rsidRPr="00D9232D">
              <w:rPr>
                <w:sz w:val="24"/>
                <w:szCs w:val="24"/>
                <w:lang w:val="en-GB"/>
              </w:rPr>
              <w:t>64.2</w:t>
            </w:r>
          </w:p>
        </w:tc>
        <w:tc>
          <w:tcPr>
            <w:tcW w:w="1119" w:type="dxa"/>
            <w:tcBorders>
              <w:top w:val="single" w:sz="4" w:space="0" w:color="auto"/>
              <w:left w:val="single" w:sz="4" w:space="0" w:color="auto"/>
              <w:bottom w:val="single" w:sz="4" w:space="0" w:color="auto"/>
              <w:right w:val="single" w:sz="4" w:space="0" w:color="auto"/>
            </w:tcBorders>
          </w:tcPr>
          <w:p w14:paraId="120ACE60" w14:textId="77777777" w:rsidR="00820F60" w:rsidRPr="00D9232D" w:rsidRDefault="00820F60" w:rsidP="00AA0A6A">
            <w:pPr>
              <w:spacing w:line="360" w:lineRule="auto"/>
              <w:rPr>
                <w:sz w:val="24"/>
                <w:szCs w:val="24"/>
                <w:lang w:val="en-GB"/>
              </w:rPr>
            </w:pPr>
            <w:r w:rsidRPr="00D9232D">
              <w:rPr>
                <w:sz w:val="24"/>
                <w:szCs w:val="24"/>
                <w:lang w:val="en-GB"/>
              </w:rPr>
              <w:t>78.8</w:t>
            </w:r>
          </w:p>
        </w:tc>
        <w:tc>
          <w:tcPr>
            <w:tcW w:w="1119" w:type="dxa"/>
            <w:tcBorders>
              <w:top w:val="single" w:sz="4" w:space="0" w:color="auto"/>
              <w:left w:val="single" w:sz="4" w:space="0" w:color="auto"/>
              <w:bottom w:val="single" w:sz="4" w:space="0" w:color="auto"/>
              <w:right w:val="single" w:sz="4" w:space="0" w:color="auto"/>
            </w:tcBorders>
          </w:tcPr>
          <w:p w14:paraId="439BEB3A" w14:textId="77777777" w:rsidR="00820F60" w:rsidRPr="00D9232D" w:rsidRDefault="00820F60" w:rsidP="00AA0A6A">
            <w:pPr>
              <w:spacing w:line="360" w:lineRule="auto"/>
              <w:rPr>
                <w:sz w:val="24"/>
                <w:szCs w:val="24"/>
                <w:lang w:val="en-GB"/>
              </w:rPr>
            </w:pPr>
            <w:r w:rsidRPr="00D9232D">
              <w:rPr>
                <w:sz w:val="24"/>
                <w:szCs w:val="24"/>
                <w:lang w:val="en-GB"/>
              </w:rPr>
              <w:t>24.0</w:t>
            </w:r>
          </w:p>
        </w:tc>
      </w:tr>
      <w:tr w:rsidR="00820F60" w:rsidRPr="00D9232D" w14:paraId="265EE20F" w14:textId="77777777" w:rsidTr="00AA0A6A">
        <w:tc>
          <w:tcPr>
            <w:tcW w:w="1562" w:type="dxa"/>
            <w:tcBorders>
              <w:top w:val="single" w:sz="4" w:space="0" w:color="auto"/>
              <w:left w:val="single" w:sz="4" w:space="0" w:color="auto"/>
              <w:bottom w:val="single" w:sz="4" w:space="0" w:color="auto"/>
              <w:right w:val="single" w:sz="4" w:space="0" w:color="auto"/>
            </w:tcBorders>
          </w:tcPr>
          <w:p w14:paraId="2BC55D2E"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4D947651" w14:textId="77777777" w:rsidR="00820F60" w:rsidRPr="00D9232D" w:rsidRDefault="00820F60" w:rsidP="00AA0A6A">
            <w:pPr>
              <w:spacing w:line="360" w:lineRule="auto"/>
              <w:rPr>
                <w:sz w:val="24"/>
                <w:szCs w:val="24"/>
                <w:lang w:val="en-GB"/>
              </w:rPr>
            </w:pPr>
            <w:r w:rsidRPr="00D9232D">
              <w:rPr>
                <w:sz w:val="24"/>
                <w:szCs w:val="24"/>
                <w:lang w:val="en-GB"/>
              </w:rPr>
              <w:t>Africa</w:t>
            </w:r>
          </w:p>
        </w:tc>
        <w:tc>
          <w:tcPr>
            <w:tcW w:w="1240" w:type="dxa"/>
            <w:tcBorders>
              <w:top w:val="single" w:sz="4" w:space="0" w:color="auto"/>
              <w:left w:val="single" w:sz="4" w:space="0" w:color="auto"/>
              <w:bottom w:val="single" w:sz="4" w:space="0" w:color="auto"/>
              <w:right w:val="single" w:sz="4" w:space="0" w:color="auto"/>
            </w:tcBorders>
          </w:tcPr>
          <w:p w14:paraId="538BDBA3" w14:textId="77777777" w:rsidR="00820F60" w:rsidRPr="00D9232D" w:rsidRDefault="00820F60" w:rsidP="00AA0A6A">
            <w:pPr>
              <w:spacing w:line="360" w:lineRule="auto"/>
              <w:rPr>
                <w:sz w:val="24"/>
                <w:szCs w:val="24"/>
                <w:lang w:val="en-GB"/>
              </w:rPr>
            </w:pPr>
            <w:r w:rsidRPr="00D9232D">
              <w:rPr>
                <w:sz w:val="24"/>
                <w:szCs w:val="24"/>
                <w:lang w:val="en-GB"/>
              </w:rPr>
              <w:t>1.5</w:t>
            </w:r>
          </w:p>
        </w:tc>
        <w:tc>
          <w:tcPr>
            <w:tcW w:w="1099" w:type="dxa"/>
            <w:tcBorders>
              <w:top w:val="single" w:sz="4" w:space="0" w:color="auto"/>
              <w:left w:val="single" w:sz="4" w:space="0" w:color="auto"/>
              <w:bottom w:val="single" w:sz="4" w:space="0" w:color="auto"/>
              <w:right w:val="single" w:sz="4" w:space="0" w:color="auto"/>
            </w:tcBorders>
          </w:tcPr>
          <w:p w14:paraId="3775F0BB" w14:textId="77777777" w:rsidR="00820F60" w:rsidRPr="00D9232D" w:rsidRDefault="00820F60" w:rsidP="00AA0A6A">
            <w:pPr>
              <w:spacing w:line="360" w:lineRule="auto"/>
              <w:rPr>
                <w:sz w:val="24"/>
                <w:szCs w:val="24"/>
                <w:lang w:val="en-GB"/>
              </w:rPr>
            </w:pPr>
            <w:r w:rsidRPr="00D9232D">
              <w:rPr>
                <w:sz w:val="24"/>
                <w:szCs w:val="24"/>
                <w:lang w:val="en-GB"/>
              </w:rPr>
              <w:t>30.5</w:t>
            </w:r>
          </w:p>
        </w:tc>
        <w:tc>
          <w:tcPr>
            <w:tcW w:w="1119" w:type="dxa"/>
            <w:tcBorders>
              <w:top w:val="single" w:sz="4" w:space="0" w:color="auto"/>
              <w:left w:val="single" w:sz="4" w:space="0" w:color="auto"/>
              <w:bottom w:val="single" w:sz="4" w:space="0" w:color="auto"/>
              <w:right w:val="single" w:sz="4" w:space="0" w:color="auto"/>
            </w:tcBorders>
          </w:tcPr>
          <w:p w14:paraId="42A0FAB8" w14:textId="77777777" w:rsidR="00820F60" w:rsidRPr="00D9232D" w:rsidRDefault="00820F60" w:rsidP="00AA0A6A">
            <w:pPr>
              <w:spacing w:line="360" w:lineRule="auto"/>
              <w:rPr>
                <w:sz w:val="24"/>
                <w:szCs w:val="24"/>
                <w:lang w:val="en-GB"/>
              </w:rPr>
            </w:pPr>
            <w:r w:rsidRPr="00D9232D">
              <w:rPr>
                <w:sz w:val="24"/>
                <w:szCs w:val="24"/>
                <w:lang w:val="en-GB"/>
              </w:rPr>
              <w:t>44.8</w:t>
            </w:r>
          </w:p>
        </w:tc>
        <w:tc>
          <w:tcPr>
            <w:tcW w:w="1119" w:type="dxa"/>
            <w:tcBorders>
              <w:top w:val="single" w:sz="4" w:space="0" w:color="auto"/>
              <w:left w:val="single" w:sz="4" w:space="0" w:color="auto"/>
              <w:bottom w:val="single" w:sz="4" w:space="0" w:color="auto"/>
              <w:right w:val="single" w:sz="4" w:space="0" w:color="auto"/>
            </w:tcBorders>
          </w:tcPr>
          <w:p w14:paraId="34BF34F1" w14:textId="77777777" w:rsidR="00820F60" w:rsidRPr="00D9232D" w:rsidRDefault="00820F60" w:rsidP="00AA0A6A">
            <w:pPr>
              <w:spacing w:line="360" w:lineRule="auto"/>
              <w:rPr>
                <w:sz w:val="24"/>
                <w:szCs w:val="24"/>
                <w:lang w:val="en-GB"/>
              </w:rPr>
            </w:pPr>
            <w:r w:rsidRPr="00D9232D">
              <w:rPr>
                <w:sz w:val="24"/>
                <w:szCs w:val="24"/>
                <w:lang w:val="en-GB"/>
              </w:rPr>
              <w:t>13.5</w:t>
            </w:r>
          </w:p>
        </w:tc>
      </w:tr>
      <w:tr w:rsidR="00820F60" w:rsidRPr="00D9232D" w14:paraId="172B76F9" w14:textId="77777777" w:rsidTr="00AA0A6A">
        <w:tc>
          <w:tcPr>
            <w:tcW w:w="1562" w:type="dxa"/>
            <w:tcBorders>
              <w:top w:val="single" w:sz="4" w:space="0" w:color="auto"/>
              <w:left w:val="single" w:sz="4" w:space="0" w:color="auto"/>
              <w:bottom w:val="single" w:sz="4" w:space="0" w:color="auto"/>
              <w:right w:val="single" w:sz="4" w:space="0" w:color="auto"/>
            </w:tcBorders>
          </w:tcPr>
          <w:p w14:paraId="2113317E" w14:textId="77777777" w:rsidR="00820F60" w:rsidRPr="00D9232D" w:rsidRDefault="00820F60" w:rsidP="00AA0A6A">
            <w:pPr>
              <w:spacing w:line="360" w:lineRule="auto"/>
              <w:rPr>
                <w:sz w:val="24"/>
                <w:szCs w:val="24"/>
                <w:lang w:val="en-GB"/>
              </w:rPr>
            </w:pPr>
            <w:r w:rsidRPr="00D9232D">
              <w:rPr>
                <w:sz w:val="24"/>
                <w:szCs w:val="24"/>
                <w:lang w:val="en-GB"/>
              </w:rPr>
              <w:t>Socioeconomic status</w:t>
            </w:r>
          </w:p>
        </w:tc>
        <w:tc>
          <w:tcPr>
            <w:tcW w:w="1568" w:type="dxa"/>
            <w:tcBorders>
              <w:top w:val="single" w:sz="4" w:space="0" w:color="auto"/>
              <w:left w:val="single" w:sz="4" w:space="0" w:color="auto"/>
              <w:bottom w:val="single" w:sz="4" w:space="0" w:color="auto"/>
              <w:right w:val="single" w:sz="4" w:space="0" w:color="auto"/>
            </w:tcBorders>
          </w:tcPr>
          <w:p w14:paraId="785E72A8" w14:textId="77777777" w:rsidR="00820F60" w:rsidRPr="00D9232D" w:rsidRDefault="00820F60" w:rsidP="00AA0A6A">
            <w:pPr>
              <w:spacing w:line="360" w:lineRule="auto"/>
              <w:rPr>
                <w:sz w:val="24"/>
                <w:szCs w:val="24"/>
                <w:lang w:val="en-GB"/>
              </w:rPr>
            </w:pPr>
            <w:r w:rsidRPr="00D9232D">
              <w:rPr>
                <w:sz w:val="24"/>
                <w:szCs w:val="24"/>
                <w:lang w:val="en-GB"/>
              </w:rPr>
              <w:t>First quintile</w:t>
            </w:r>
          </w:p>
        </w:tc>
        <w:tc>
          <w:tcPr>
            <w:tcW w:w="1240" w:type="dxa"/>
            <w:tcBorders>
              <w:top w:val="single" w:sz="4" w:space="0" w:color="auto"/>
              <w:left w:val="single" w:sz="4" w:space="0" w:color="auto"/>
              <w:bottom w:val="single" w:sz="4" w:space="0" w:color="auto"/>
              <w:right w:val="single" w:sz="4" w:space="0" w:color="auto"/>
            </w:tcBorders>
          </w:tcPr>
          <w:p w14:paraId="5A618699" w14:textId="77777777" w:rsidR="00820F60" w:rsidRPr="00D9232D" w:rsidRDefault="00820F60" w:rsidP="00AA0A6A">
            <w:pPr>
              <w:spacing w:line="360" w:lineRule="auto"/>
              <w:rPr>
                <w:sz w:val="24"/>
                <w:szCs w:val="24"/>
                <w:lang w:val="en-GB"/>
              </w:rPr>
            </w:pPr>
            <w:r w:rsidRPr="00D9232D">
              <w:rPr>
                <w:sz w:val="24"/>
                <w:szCs w:val="24"/>
                <w:lang w:val="en-GB"/>
              </w:rPr>
              <w:t>15.3</w:t>
            </w:r>
          </w:p>
        </w:tc>
        <w:tc>
          <w:tcPr>
            <w:tcW w:w="1099" w:type="dxa"/>
            <w:tcBorders>
              <w:top w:val="single" w:sz="4" w:space="0" w:color="auto"/>
              <w:left w:val="single" w:sz="4" w:space="0" w:color="auto"/>
              <w:bottom w:val="single" w:sz="4" w:space="0" w:color="auto"/>
              <w:right w:val="single" w:sz="4" w:space="0" w:color="auto"/>
            </w:tcBorders>
          </w:tcPr>
          <w:p w14:paraId="6A758740" w14:textId="77777777" w:rsidR="00820F60" w:rsidRPr="00D9232D" w:rsidRDefault="00820F60" w:rsidP="00AA0A6A">
            <w:pPr>
              <w:spacing w:line="360" w:lineRule="auto"/>
              <w:rPr>
                <w:sz w:val="24"/>
                <w:szCs w:val="24"/>
                <w:lang w:val="en-GB"/>
              </w:rPr>
            </w:pPr>
            <w:r w:rsidRPr="00D9232D">
              <w:rPr>
                <w:sz w:val="24"/>
                <w:szCs w:val="24"/>
                <w:lang w:val="en-GB"/>
              </w:rPr>
              <w:t>50.7</w:t>
            </w:r>
          </w:p>
        </w:tc>
        <w:tc>
          <w:tcPr>
            <w:tcW w:w="1119" w:type="dxa"/>
            <w:tcBorders>
              <w:top w:val="single" w:sz="4" w:space="0" w:color="auto"/>
              <w:left w:val="single" w:sz="4" w:space="0" w:color="auto"/>
              <w:bottom w:val="single" w:sz="4" w:space="0" w:color="auto"/>
              <w:right w:val="single" w:sz="4" w:space="0" w:color="auto"/>
            </w:tcBorders>
          </w:tcPr>
          <w:p w14:paraId="39D2A321" w14:textId="77777777" w:rsidR="00820F60" w:rsidRPr="00D9232D" w:rsidRDefault="00820F60" w:rsidP="00AA0A6A">
            <w:pPr>
              <w:spacing w:line="360" w:lineRule="auto"/>
              <w:rPr>
                <w:sz w:val="24"/>
                <w:szCs w:val="24"/>
                <w:lang w:val="en-GB"/>
              </w:rPr>
            </w:pPr>
            <w:r w:rsidRPr="00D9232D">
              <w:rPr>
                <w:sz w:val="24"/>
                <w:szCs w:val="24"/>
                <w:lang w:val="en-GB"/>
              </w:rPr>
              <w:t>61.3</w:t>
            </w:r>
          </w:p>
        </w:tc>
        <w:tc>
          <w:tcPr>
            <w:tcW w:w="1119" w:type="dxa"/>
            <w:tcBorders>
              <w:top w:val="single" w:sz="4" w:space="0" w:color="auto"/>
              <w:left w:val="single" w:sz="4" w:space="0" w:color="auto"/>
              <w:bottom w:val="single" w:sz="4" w:space="0" w:color="auto"/>
              <w:right w:val="single" w:sz="4" w:space="0" w:color="auto"/>
            </w:tcBorders>
          </w:tcPr>
          <w:p w14:paraId="60C8ECA6" w14:textId="77777777" w:rsidR="00820F60" w:rsidRPr="00D9232D" w:rsidRDefault="00820F60" w:rsidP="00AA0A6A">
            <w:pPr>
              <w:spacing w:line="360" w:lineRule="auto"/>
              <w:rPr>
                <w:sz w:val="24"/>
                <w:szCs w:val="24"/>
                <w:lang w:val="en-GB"/>
              </w:rPr>
            </w:pPr>
            <w:r w:rsidRPr="00D9232D">
              <w:rPr>
                <w:sz w:val="24"/>
                <w:szCs w:val="24"/>
                <w:lang w:val="en-GB"/>
              </w:rPr>
              <w:t>18.0</w:t>
            </w:r>
          </w:p>
        </w:tc>
      </w:tr>
      <w:tr w:rsidR="00820F60" w:rsidRPr="00D9232D" w14:paraId="3FAF8B60" w14:textId="77777777" w:rsidTr="00AA0A6A">
        <w:tc>
          <w:tcPr>
            <w:tcW w:w="1562" w:type="dxa"/>
            <w:tcBorders>
              <w:top w:val="single" w:sz="4" w:space="0" w:color="auto"/>
              <w:left w:val="single" w:sz="4" w:space="0" w:color="auto"/>
              <w:bottom w:val="single" w:sz="4" w:space="0" w:color="auto"/>
              <w:right w:val="single" w:sz="4" w:space="0" w:color="auto"/>
            </w:tcBorders>
          </w:tcPr>
          <w:p w14:paraId="797FD9B0"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38CF2DB9" w14:textId="77777777" w:rsidR="00820F60" w:rsidRPr="00D9232D" w:rsidRDefault="00820F60" w:rsidP="00AA0A6A">
            <w:pPr>
              <w:spacing w:line="360" w:lineRule="auto"/>
              <w:rPr>
                <w:sz w:val="24"/>
                <w:szCs w:val="24"/>
                <w:lang w:val="en-GB"/>
              </w:rPr>
            </w:pPr>
            <w:r w:rsidRPr="00D9232D">
              <w:rPr>
                <w:sz w:val="24"/>
                <w:szCs w:val="24"/>
                <w:lang w:val="en-GB"/>
              </w:rPr>
              <w:t>Second quintile</w:t>
            </w:r>
          </w:p>
        </w:tc>
        <w:tc>
          <w:tcPr>
            <w:tcW w:w="1240" w:type="dxa"/>
            <w:tcBorders>
              <w:top w:val="single" w:sz="4" w:space="0" w:color="auto"/>
              <w:left w:val="single" w:sz="4" w:space="0" w:color="auto"/>
              <w:bottom w:val="single" w:sz="4" w:space="0" w:color="auto"/>
              <w:right w:val="single" w:sz="4" w:space="0" w:color="auto"/>
            </w:tcBorders>
          </w:tcPr>
          <w:p w14:paraId="7F19E48D" w14:textId="77777777" w:rsidR="00820F60" w:rsidRPr="00D9232D" w:rsidRDefault="00820F60" w:rsidP="00AA0A6A">
            <w:pPr>
              <w:spacing w:line="360" w:lineRule="auto"/>
              <w:rPr>
                <w:sz w:val="24"/>
                <w:szCs w:val="24"/>
                <w:lang w:val="en-GB"/>
              </w:rPr>
            </w:pPr>
            <w:r w:rsidRPr="00D9232D">
              <w:rPr>
                <w:sz w:val="24"/>
                <w:szCs w:val="24"/>
                <w:lang w:val="en-GB"/>
              </w:rPr>
              <w:t>16.1</w:t>
            </w:r>
          </w:p>
        </w:tc>
        <w:tc>
          <w:tcPr>
            <w:tcW w:w="1099" w:type="dxa"/>
            <w:tcBorders>
              <w:top w:val="single" w:sz="4" w:space="0" w:color="auto"/>
              <w:left w:val="single" w:sz="4" w:space="0" w:color="auto"/>
              <w:bottom w:val="single" w:sz="4" w:space="0" w:color="auto"/>
              <w:right w:val="single" w:sz="4" w:space="0" w:color="auto"/>
            </w:tcBorders>
          </w:tcPr>
          <w:p w14:paraId="1F61E6F7" w14:textId="77777777" w:rsidR="00820F60" w:rsidRPr="00D9232D" w:rsidRDefault="00820F60" w:rsidP="00AA0A6A">
            <w:pPr>
              <w:spacing w:line="360" w:lineRule="auto"/>
              <w:rPr>
                <w:sz w:val="24"/>
                <w:szCs w:val="24"/>
                <w:lang w:val="en-GB"/>
              </w:rPr>
            </w:pPr>
            <w:r w:rsidRPr="00D9232D">
              <w:rPr>
                <w:sz w:val="24"/>
                <w:szCs w:val="24"/>
                <w:lang w:val="en-GB"/>
              </w:rPr>
              <w:t>63.9</w:t>
            </w:r>
          </w:p>
        </w:tc>
        <w:tc>
          <w:tcPr>
            <w:tcW w:w="1119" w:type="dxa"/>
            <w:tcBorders>
              <w:top w:val="single" w:sz="4" w:space="0" w:color="auto"/>
              <w:left w:val="single" w:sz="4" w:space="0" w:color="auto"/>
              <w:bottom w:val="single" w:sz="4" w:space="0" w:color="auto"/>
              <w:right w:val="single" w:sz="4" w:space="0" w:color="auto"/>
            </w:tcBorders>
          </w:tcPr>
          <w:p w14:paraId="09E66162" w14:textId="77777777" w:rsidR="00820F60" w:rsidRPr="00D9232D" w:rsidRDefault="00820F60" w:rsidP="00AA0A6A">
            <w:pPr>
              <w:spacing w:line="360" w:lineRule="auto"/>
              <w:rPr>
                <w:sz w:val="24"/>
                <w:szCs w:val="24"/>
                <w:lang w:val="en-GB"/>
              </w:rPr>
            </w:pPr>
            <w:r w:rsidRPr="00D9232D">
              <w:rPr>
                <w:sz w:val="24"/>
                <w:szCs w:val="24"/>
                <w:lang w:val="en-GB"/>
              </w:rPr>
              <w:t>74.8</w:t>
            </w:r>
          </w:p>
        </w:tc>
        <w:tc>
          <w:tcPr>
            <w:tcW w:w="1119" w:type="dxa"/>
            <w:tcBorders>
              <w:top w:val="single" w:sz="4" w:space="0" w:color="auto"/>
              <w:left w:val="single" w:sz="4" w:space="0" w:color="auto"/>
              <w:bottom w:val="single" w:sz="4" w:space="0" w:color="auto"/>
              <w:right w:val="single" w:sz="4" w:space="0" w:color="auto"/>
            </w:tcBorders>
          </w:tcPr>
          <w:p w14:paraId="6632A34C" w14:textId="77777777" w:rsidR="00820F60" w:rsidRPr="00D9232D" w:rsidRDefault="00820F60" w:rsidP="00AA0A6A">
            <w:pPr>
              <w:spacing w:line="360" w:lineRule="auto"/>
              <w:rPr>
                <w:sz w:val="24"/>
                <w:szCs w:val="24"/>
                <w:lang w:val="en-GB"/>
              </w:rPr>
            </w:pPr>
            <w:r w:rsidRPr="00D9232D">
              <w:rPr>
                <w:sz w:val="24"/>
                <w:szCs w:val="24"/>
                <w:lang w:val="en-GB"/>
              </w:rPr>
              <w:t>20.2</w:t>
            </w:r>
          </w:p>
        </w:tc>
      </w:tr>
      <w:tr w:rsidR="00820F60" w:rsidRPr="00D9232D" w14:paraId="03C75434" w14:textId="77777777" w:rsidTr="00AA0A6A">
        <w:tc>
          <w:tcPr>
            <w:tcW w:w="1562" w:type="dxa"/>
            <w:tcBorders>
              <w:top w:val="single" w:sz="4" w:space="0" w:color="auto"/>
              <w:left w:val="single" w:sz="4" w:space="0" w:color="auto"/>
              <w:bottom w:val="single" w:sz="4" w:space="0" w:color="auto"/>
              <w:right w:val="single" w:sz="4" w:space="0" w:color="auto"/>
            </w:tcBorders>
          </w:tcPr>
          <w:p w14:paraId="4C82C9E0"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508774B6" w14:textId="77777777" w:rsidR="00820F60" w:rsidRPr="00D9232D" w:rsidRDefault="00820F60" w:rsidP="00AA0A6A">
            <w:pPr>
              <w:spacing w:line="360" w:lineRule="auto"/>
              <w:rPr>
                <w:sz w:val="24"/>
                <w:szCs w:val="24"/>
                <w:lang w:val="en-GB"/>
              </w:rPr>
            </w:pPr>
            <w:r w:rsidRPr="00D9232D">
              <w:rPr>
                <w:sz w:val="24"/>
                <w:szCs w:val="24"/>
                <w:lang w:val="en-GB"/>
              </w:rPr>
              <w:t>Third quintile</w:t>
            </w:r>
          </w:p>
        </w:tc>
        <w:tc>
          <w:tcPr>
            <w:tcW w:w="1240" w:type="dxa"/>
            <w:tcBorders>
              <w:top w:val="single" w:sz="4" w:space="0" w:color="auto"/>
              <w:left w:val="single" w:sz="4" w:space="0" w:color="auto"/>
              <w:bottom w:val="single" w:sz="4" w:space="0" w:color="auto"/>
              <w:right w:val="single" w:sz="4" w:space="0" w:color="auto"/>
            </w:tcBorders>
          </w:tcPr>
          <w:p w14:paraId="779537E4" w14:textId="77777777" w:rsidR="00820F60" w:rsidRPr="00D9232D" w:rsidRDefault="00820F60" w:rsidP="00AA0A6A">
            <w:pPr>
              <w:spacing w:line="360" w:lineRule="auto"/>
              <w:rPr>
                <w:sz w:val="24"/>
                <w:szCs w:val="24"/>
                <w:lang w:val="en-GB"/>
              </w:rPr>
            </w:pPr>
            <w:r w:rsidRPr="00D9232D">
              <w:rPr>
                <w:sz w:val="24"/>
                <w:szCs w:val="24"/>
                <w:lang w:val="en-GB"/>
              </w:rPr>
              <w:t>20.5</w:t>
            </w:r>
          </w:p>
        </w:tc>
        <w:tc>
          <w:tcPr>
            <w:tcW w:w="1099" w:type="dxa"/>
            <w:tcBorders>
              <w:top w:val="single" w:sz="4" w:space="0" w:color="auto"/>
              <w:left w:val="single" w:sz="4" w:space="0" w:color="auto"/>
              <w:bottom w:val="single" w:sz="4" w:space="0" w:color="auto"/>
              <w:right w:val="single" w:sz="4" w:space="0" w:color="auto"/>
            </w:tcBorders>
          </w:tcPr>
          <w:p w14:paraId="328E1480" w14:textId="77777777" w:rsidR="00820F60" w:rsidRPr="00D9232D" w:rsidRDefault="00820F60" w:rsidP="00AA0A6A">
            <w:pPr>
              <w:spacing w:line="360" w:lineRule="auto"/>
              <w:rPr>
                <w:sz w:val="24"/>
                <w:szCs w:val="24"/>
                <w:lang w:val="en-GB"/>
              </w:rPr>
            </w:pPr>
            <w:r w:rsidRPr="00D9232D">
              <w:rPr>
                <w:sz w:val="24"/>
                <w:szCs w:val="24"/>
                <w:lang w:val="en-GB"/>
              </w:rPr>
              <w:t>67.4</w:t>
            </w:r>
          </w:p>
        </w:tc>
        <w:tc>
          <w:tcPr>
            <w:tcW w:w="1119" w:type="dxa"/>
            <w:tcBorders>
              <w:top w:val="single" w:sz="4" w:space="0" w:color="auto"/>
              <w:left w:val="single" w:sz="4" w:space="0" w:color="auto"/>
              <w:bottom w:val="single" w:sz="4" w:space="0" w:color="auto"/>
              <w:right w:val="single" w:sz="4" w:space="0" w:color="auto"/>
            </w:tcBorders>
          </w:tcPr>
          <w:p w14:paraId="0FB530EB" w14:textId="77777777" w:rsidR="00820F60" w:rsidRPr="00D9232D" w:rsidRDefault="00820F60" w:rsidP="00AA0A6A">
            <w:pPr>
              <w:spacing w:line="360" w:lineRule="auto"/>
              <w:rPr>
                <w:sz w:val="24"/>
                <w:szCs w:val="24"/>
                <w:lang w:val="en-GB"/>
              </w:rPr>
            </w:pPr>
            <w:r w:rsidRPr="00D9232D">
              <w:rPr>
                <w:sz w:val="24"/>
                <w:szCs w:val="24"/>
                <w:lang w:val="en-GB"/>
              </w:rPr>
              <w:t>78.2</w:t>
            </w:r>
          </w:p>
        </w:tc>
        <w:tc>
          <w:tcPr>
            <w:tcW w:w="1119" w:type="dxa"/>
            <w:tcBorders>
              <w:top w:val="single" w:sz="4" w:space="0" w:color="auto"/>
              <w:left w:val="single" w:sz="4" w:space="0" w:color="auto"/>
              <w:bottom w:val="single" w:sz="4" w:space="0" w:color="auto"/>
              <w:right w:val="single" w:sz="4" w:space="0" w:color="auto"/>
            </w:tcBorders>
          </w:tcPr>
          <w:p w14:paraId="3522669D" w14:textId="77777777" w:rsidR="00820F60" w:rsidRPr="00D9232D" w:rsidRDefault="00820F60" w:rsidP="00AA0A6A">
            <w:pPr>
              <w:spacing w:line="360" w:lineRule="auto"/>
              <w:rPr>
                <w:sz w:val="24"/>
                <w:szCs w:val="24"/>
                <w:lang w:val="en-GB"/>
              </w:rPr>
            </w:pPr>
            <w:r w:rsidRPr="00D9232D">
              <w:rPr>
                <w:sz w:val="24"/>
                <w:szCs w:val="24"/>
                <w:lang w:val="en-GB"/>
              </w:rPr>
              <w:t>21.6</w:t>
            </w:r>
          </w:p>
        </w:tc>
      </w:tr>
      <w:tr w:rsidR="00820F60" w:rsidRPr="00D9232D" w14:paraId="22B6ED28" w14:textId="77777777" w:rsidTr="00AA0A6A">
        <w:tc>
          <w:tcPr>
            <w:tcW w:w="1562" w:type="dxa"/>
            <w:tcBorders>
              <w:top w:val="single" w:sz="4" w:space="0" w:color="auto"/>
              <w:left w:val="single" w:sz="4" w:space="0" w:color="auto"/>
              <w:bottom w:val="single" w:sz="4" w:space="0" w:color="auto"/>
              <w:right w:val="single" w:sz="4" w:space="0" w:color="auto"/>
            </w:tcBorders>
          </w:tcPr>
          <w:p w14:paraId="10F60717"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bottom w:val="single" w:sz="4" w:space="0" w:color="auto"/>
              <w:right w:val="single" w:sz="4" w:space="0" w:color="auto"/>
            </w:tcBorders>
          </w:tcPr>
          <w:p w14:paraId="497AB9AC" w14:textId="77777777" w:rsidR="00820F60" w:rsidRPr="00D9232D" w:rsidRDefault="00820F60" w:rsidP="00AA0A6A">
            <w:pPr>
              <w:spacing w:line="360" w:lineRule="auto"/>
              <w:rPr>
                <w:sz w:val="24"/>
                <w:szCs w:val="24"/>
                <w:lang w:val="en-GB"/>
              </w:rPr>
            </w:pPr>
            <w:r w:rsidRPr="00D9232D">
              <w:rPr>
                <w:sz w:val="24"/>
                <w:szCs w:val="24"/>
                <w:lang w:val="en-GB"/>
              </w:rPr>
              <w:t>Fourth quintile</w:t>
            </w:r>
          </w:p>
        </w:tc>
        <w:tc>
          <w:tcPr>
            <w:tcW w:w="1240" w:type="dxa"/>
            <w:tcBorders>
              <w:top w:val="single" w:sz="4" w:space="0" w:color="auto"/>
              <w:left w:val="single" w:sz="4" w:space="0" w:color="auto"/>
              <w:bottom w:val="single" w:sz="4" w:space="0" w:color="auto"/>
              <w:right w:val="single" w:sz="4" w:space="0" w:color="auto"/>
            </w:tcBorders>
          </w:tcPr>
          <w:p w14:paraId="0431DDCB" w14:textId="77777777" w:rsidR="00820F60" w:rsidRPr="00D9232D" w:rsidRDefault="00820F60" w:rsidP="00AA0A6A">
            <w:pPr>
              <w:spacing w:line="360" w:lineRule="auto"/>
              <w:rPr>
                <w:sz w:val="24"/>
                <w:szCs w:val="24"/>
                <w:lang w:val="en-GB"/>
              </w:rPr>
            </w:pPr>
            <w:r w:rsidRPr="00D9232D">
              <w:rPr>
                <w:sz w:val="24"/>
                <w:szCs w:val="24"/>
                <w:lang w:val="en-GB"/>
              </w:rPr>
              <w:t>20.1</w:t>
            </w:r>
          </w:p>
        </w:tc>
        <w:tc>
          <w:tcPr>
            <w:tcW w:w="1099" w:type="dxa"/>
            <w:tcBorders>
              <w:top w:val="single" w:sz="4" w:space="0" w:color="auto"/>
              <w:left w:val="single" w:sz="4" w:space="0" w:color="auto"/>
              <w:bottom w:val="single" w:sz="4" w:space="0" w:color="auto"/>
              <w:right w:val="single" w:sz="4" w:space="0" w:color="auto"/>
            </w:tcBorders>
          </w:tcPr>
          <w:p w14:paraId="08167437" w14:textId="77777777" w:rsidR="00820F60" w:rsidRPr="00D9232D" w:rsidRDefault="00820F60" w:rsidP="00AA0A6A">
            <w:pPr>
              <w:spacing w:line="360" w:lineRule="auto"/>
              <w:rPr>
                <w:sz w:val="24"/>
                <w:szCs w:val="24"/>
                <w:lang w:val="en-GB"/>
              </w:rPr>
            </w:pPr>
            <w:r w:rsidRPr="00D9232D">
              <w:rPr>
                <w:sz w:val="24"/>
                <w:szCs w:val="24"/>
                <w:lang w:val="en-GB"/>
              </w:rPr>
              <w:t>70.7</w:t>
            </w:r>
          </w:p>
        </w:tc>
        <w:tc>
          <w:tcPr>
            <w:tcW w:w="1119" w:type="dxa"/>
            <w:tcBorders>
              <w:top w:val="single" w:sz="4" w:space="0" w:color="auto"/>
              <w:left w:val="single" w:sz="4" w:space="0" w:color="auto"/>
              <w:bottom w:val="single" w:sz="4" w:space="0" w:color="auto"/>
              <w:right w:val="single" w:sz="4" w:space="0" w:color="auto"/>
            </w:tcBorders>
          </w:tcPr>
          <w:p w14:paraId="60750FAF" w14:textId="77777777" w:rsidR="00820F60" w:rsidRPr="00D9232D" w:rsidRDefault="00820F60" w:rsidP="00AA0A6A">
            <w:pPr>
              <w:spacing w:line="360" w:lineRule="auto"/>
              <w:rPr>
                <w:sz w:val="24"/>
                <w:szCs w:val="24"/>
                <w:lang w:val="en-GB"/>
              </w:rPr>
            </w:pPr>
            <w:r w:rsidRPr="00D9232D">
              <w:rPr>
                <w:sz w:val="24"/>
                <w:szCs w:val="24"/>
                <w:lang w:val="en-GB"/>
              </w:rPr>
              <w:t>80.8</w:t>
            </w:r>
          </w:p>
        </w:tc>
        <w:tc>
          <w:tcPr>
            <w:tcW w:w="1119" w:type="dxa"/>
            <w:tcBorders>
              <w:top w:val="single" w:sz="4" w:space="0" w:color="auto"/>
              <w:left w:val="single" w:sz="4" w:space="0" w:color="auto"/>
              <w:bottom w:val="single" w:sz="4" w:space="0" w:color="auto"/>
              <w:right w:val="single" w:sz="4" w:space="0" w:color="auto"/>
            </w:tcBorders>
          </w:tcPr>
          <w:p w14:paraId="05E7A523" w14:textId="77777777" w:rsidR="00820F60" w:rsidRPr="00D9232D" w:rsidRDefault="00820F60" w:rsidP="00AA0A6A">
            <w:pPr>
              <w:spacing w:line="360" w:lineRule="auto"/>
              <w:rPr>
                <w:sz w:val="24"/>
                <w:szCs w:val="24"/>
                <w:lang w:val="en-GB"/>
              </w:rPr>
            </w:pPr>
            <w:r w:rsidRPr="00D9232D">
              <w:rPr>
                <w:sz w:val="24"/>
                <w:szCs w:val="24"/>
                <w:lang w:val="en-GB"/>
              </w:rPr>
              <w:t>23.7</w:t>
            </w:r>
          </w:p>
        </w:tc>
      </w:tr>
      <w:tr w:rsidR="00820F60" w:rsidRPr="00D9232D" w14:paraId="13B1C633" w14:textId="77777777" w:rsidTr="00AA0A6A">
        <w:tc>
          <w:tcPr>
            <w:tcW w:w="1562" w:type="dxa"/>
            <w:tcBorders>
              <w:top w:val="single" w:sz="4" w:space="0" w:color="auto"/>
              <w:left w:val="single" w:sz="4" w:space="0" w:color="auto"/>
              <w:right w:val="single" w:sz="4" w:space="0" w:color="auto"/>
            </w:tcBorders>
          </w:tcPr>
          <w:p w14:paraId="5EB4EF45" w14:textId="77777777" w:rsidR="00820F60" w:rsidRPr="00D9232D" w:rsidRDefault="00820F60" w:rsidP="00AA0A6A">
            <w:pPr>
              <w:spacing w:line="360" w:lineRule="auto"/>
              <w:rPr>
                <w:sz w:val="24"/>
                <w:szCs w:val="24"/>
                <w:lang w:val="en-GB"/>
              </w:rPr>
            </w:pPr>
          </w:p>
        </w:tc>
        <w:tc>
          <w:tcPr>
            <w:tcW w:w="1568" w:type="dxa"/>
            <w:tcBorders>
              <w:top w:val="single" w:sz="4" w:space="0" w:color="auto"/>
              <w:left w:val="single" w:sz="4" w:space="0" w:color="auto"/>
              <w:right w:val="single" w:sz="4" w:space="0" w:color="auto"/>
            </w:tcBorders>
          </w:tcPr>
          <w:p w14:paraId="5E4C1ECE" w14:textId="77777777" w:rsidR="00820F60" w:rsidRPr="00D9232D" w:rsidRDefault="00820F60" w:rsidP="00AA0A6A">
            <w:pPr>
              <w:spacing w:line="360" w:lineRule="auto"/>
              <w:rPr>
                <w:sz w:val="24"/>
                <w:szCs w:val="24"/>
                <w:lang w:val="en-GB"/>
              </w:rPr>
            </w:pPr>
            <w:r w:rsidRPr="00D9232D">
              <w:rPr>
                <w:sz w:val="24"/>
                <w:szCs w:val="24"/>
                <w:lang w:val="en-GB"/>
              </w:rPr>
              <w:t>Fifth quintile</w:t>
            </w:r>
          </w:p>
        </w:tc>
        <w:tc>
          <w:tcPr>
            <w:tcW w:w="1240" w:type="dxa"/>
            <w:tcBorders>
              <w:top w:val="single" w:sz="4" w:space="0" w:color="auto"/>
              <w:left w:val="single" w:sz="4" w:space="0" w:color="auto"/>
              <w:right w:val="single" w:sz="4" w:space="0" w:color="auto"/>
            </w:tcBorders>
          </w:tcPr>
          <w:p w14:paraId="29469E87" w14:textId="77777777" w:rsidR="00820F60" w:rsidRPr="00D9232D" w:rsidRDefault="00820F60" w:rsidP="00AA0A6A">
            <w:pPr>
              <w:spacing w:line="360" w:lineRule="auto"/>
              <w:rPr>
                <w:sz w:val="24"/>
                <w:szCs w:val="24"/>
                <w:lang w:val="en-GB"/>
              </w:rPr>
            </w:pPr>
            <w:r w:rsidRPr="00D9232D">
              <w:rPr>
                <w:sz w:val="24"/>
                <w:szCs w:val="24"/>
                <w:lang w:val="en-GB"/>
              </w:rPr>
              <w:t>28.0</w:t>
            </w:r>
          </w:p>
        </w:tc>
        <w:tc>
          <w:tcPr>
            <w:tcW w:w="1099" w:type="dxa"/>
            <w:tcBorders>
              <w:top w:val="single" w:sz="4" w:space="0" w:color="auto"/>
              <w:left w:val="single" w:sz="4" w:space="0" w:color="auto"/>
              <w:right w:val="single" w:sz="4" w:space="0" w:color="auto"/>
            </w:tcBorders>
          </w:tcPr>
          <w:p w14:paraId="153C64C8" w14:textId="77777777" w:rsidR="00820F60" w:rsidRPr="00D9232D" w:rsidRDefault="00820F60" w:rsidP="00AA0A6A">
            <w:pPr>
              <w:spacing w:line="360" w:lineRule="auto"/>
              <w:rPr>
                <w:sz w:val="24"/>
                <w:szCs w:val="24"/>
                <w:lang w:val="en-GB"/>
              </w:rPr>
            </w:pPr>
            <w:r w:rsidRPr="00D9232D">
              <w:rPr>
                <w:sz w:val="24"/>
                <w:szCs w:val="24"/>
                <w:lang w:val="en-GB"/>
              </w:rPr>
              <w:t>74.3</w:t>
            </w:r>
          </w:p>
        </w:tc>
        <w:tc>
          <w:tcPr>
            <w:tcW w:w="1119" w:type="dxa"/>
            <w:tcBorders>
              <w:top w:val="single" w:sz="4" w:space="0" w:color="auto"/>
              <w:left w:val="single" w:sz="4" w:space="0" w:color="auto"/>
              <w:right w:val="single" w:sz="4" w:space="0" w:color="auto"/>
            </w:tcBorders>
          </w:tcPr>
          <w:p w14:paraId="48F307ED" w14:textId="77777777" w:rsidR="00820F60" w:rsidRPr="00D9232D" w:rsidRDefault="00820F60" w:rsidP="00AA0A6A">
            <w:pPr>
              <w:spacing w:line="360" w:lineRule="auto"/>
              <w:rPr>
                <w:sz w:val="24"/>
                <w:szCs w:val="24"/>
                <w:lang w:val="en-GB"/>
              </w:rPr>
            </w:pPr>
            <w:r w:rsidRPr="00D9232D">
              <w:rPr>
                <w:sz w:val="24"/>
                <w:szCs w:val="24"/>
                <w:lang w:val="en-GB"/>
              </w:rPr>
              <w:t>83.4</w:t>
            </w:r>
          </w:p>
        </w:tc>
        <w:tc>
          <w:tcPr>
            <w:tcW w:w="1119" w:type="dxa"/>
            <w:tcBorders>
              <w:top w:val="single" w:sz="4" w:space="0" w:color="auto"/>
              <w:left w:val="single" w:sz="4" w:space="0" w:color="auto"/>
              <w:right w:val="single" w:sz="4" w:space="0" w:color="auto"/>
            </w:tcBorders>
          </w:tcPr>
          <w:p w14:paraId="2E83DC93" w14:textId="77777777" w:rsidR="00820F60" w:rsidRPr="00D9232D" w:rsidRDefault="00820F60" w:rsidP="00AA0A6A">
            <w:pPr>
              <w:spacing w:line="360" w:lineRule="auto"/>
              <w:rPr>
                <w:sz w:val="24"/>
                <w:szCs w:val="24"/>
                <w:lang w:val="en-GB"/>
              </w:rPr>
            </w:pPr>
            <w:r w:rsidRPr="00D9232D">
              <w:rPr>
                <w:sz w:val="24"/>
                <w:szCs w:val="24"/>
                <w:lang w:val="en-GB"/>
              </w:rPr>
              <w:t>28.4</w:t>
            </w:r>
          </w:p>
        </w:tc>
      </w:tr>
    </w:tbl>
    <w:p w14:paraId="31C2DF2F" w14:textId="77777777" w:rsidR="00820F60" w:rsidRDefault="00820F60" w:rsidP="004E289D">
      <w:pPr>
        <w:spacing w:line="480" w:lineRule="auto"/>
        <w:rPr>
          <w:sz w:val="24"/>
          <w:szCs w:val="24"/>
          <w:lang w:val="en-GB"/>
        </w:rPr>
      </w:pPr>
    </w:p>
    <w:p w14:paraId="47AE898D" w14:textId="0DDFB0B4" w:rsidR="0067261B" w:rsidRDefault="0067261B" w:rsidP="004E289D">
      <w:pPr>
        <w:spacing w:line="480" w:lineRule="auto"/>
        <w:rPr>
          <w:sz w:val="24"/>
          <w:szCs w:val="24"/>
          <w:lang w:val="en-GB"/>
        </w:rPr>
      </w:pPr>
    </w:p>
    <w:p w14:paraId="598AB1FF" w14:textId="38DB5DDA" w:rsidR="0067261B" w:rsidRDefault="0067261B" w:rsidP="004E289D">
      <w:pPr>
        <w:spacing w:line="480" w:lineRule="auto"/>
        <w:rPr>
          <w:sz w:val="24"/>
          <w:szCs w:val="24"/>
          <w:lang w:val="en-GB"/>
        </w:rPr>
      </w:pPr>
    </w:p>
    <w:p w14:paraId="71296977" w14:textId="77777777" w:rsidR="00597BE1" w:rsidRDefault="00597BE1" w:rsidP="0067261B">
      <w:pPr>
        <w:spacing w:line="480" w:lineRule="auto"/>
        <w:rPr>
          <w:b/>
          <w:bCs/>
          <w:noProof/>
          <w:sz w:val="24"/>
          <w:szCs w:val="24"/>
          <w:lang w:val="en-GB"/>
        </w:rPr>
      </w:pPr>
    </w:p>
    <w:p w14:paraId="49C26F85" w14:textId="77777777" w:rsidR="00597BE1" w:rsidRDefault="00597BE1" w:rsidP="0067261B">
      <w:pPr>
        <w:spacing w:line="480" w:lineRule="auto"/>
        <w:rPr>
          <w:b/>
          <w:bCs/>
          <w:noProof/>
          <w:sz w:val="24"/>
          <w:szCs w:val="24"/>
          <w:lang w:val="en-GB"/>
        </w:rPr>
      </w:pPr>
    </w:p>
    <w:p w14:paraId="1C66E6C3" w14:textId="77777777" w:rsidR="00597BE1" w:rsidRDefault="00597BE1" w:rsidP="0067261B">
      <w:pPr>
        <w:spacing w:line="480" w:lineRule="auto"/>
        <w:rPr>
          <w:b/>
          <w:bCs/>
          <w:noProof/>
          <w:sz w:val="24"/>
          <w:szCs w:val="24"/>
          <w:lang w:val="en-GB"/>
        </w:rPr>
      </w:pPr>
    </w:p>
    <w:p w14:paraId="14E539B5" w14:textId="77777777" w:rsidR="00597BE1" w:rsidRDefault="00597BE1" w:rsidP="0067261B">
      <w:pPr>
        <w:spacing w:line="480" w:lineRule="auto"/>
        <w:rPr>
          <w:b/>
          <w:bCs/>
          <w:noProof/>
          <w:sz w:val="24"/>
          <w:szCs w:val="24"/>
          <w:lang w:val="en-GB"/>
        </w:rPr>
      </w:pPr>
    </w:p>
    <w:p w14:paraId="0D8EDE5B" w14:textId="4B56177C" w:rsidR="00597BE1" w:rsidRDefault="00597BE1" w:rsidP="0067261B">
      <w:pPr>
        <w:spacing w:line="480" w:lineRule="auto"/>
        <w:rPr>
          <w:b/>
          <w:bCs/>
          <w:noProof/>
          <w:sz w:val="24"/>
          <w:szCs w:val="24"/>
          <w:lang w:val="en-GB"/>
        </w:rPr>
      </w:pPr>
    </w:p>
    <w:p w14:paraId="40CFBF19" w14:textId="7CE2EDC2" w:rsidR="00204E97" w:rsidRDefault="00204E97" w:rsidP="0067261B">
      <w:pPr>
        <w:spacing w:line="480" w:lineRule="auto"/>
        <w:rPr>
          <w:b/>
          <w:bCs/>
          <w:noProof/>
          <w:sz w:val="24"/>
          <w:szCs w:val="24"/>
          <w:lang w:val="en-GB"/>
        </w:rPr>
      </w:pPr>
    </w:p>
    <w:p w14:paraId="28C816DA" w14:textId="1F2167EA" w:rsidR="00204E97" w:rsidRDefault="00204E97" w:rsidP="0067261B">
      <w:pPr>
        <w:spacing w:line="480" w:lineRule="auto"/>
        <w:rPr>
          <w:b/>
          <w:bCs/>
          <w:noProof/>
          <w:sz w:val="24"/>
          <w:szCs w:val="24"/>
          <w:lang w:val="en-GB"/>
        </w:rPr>
      </w:pPr>
    </w:p>
    <w:p w14:paraId="5F9C30C1" w14:textId="06075786" w:rsidR="00204E97" w:rsidRDefault="00204E97" w:rsidP="0067261B">
      <w:pPr>
        <w:spacing w:line="480" w:lineRule="auto"/>
        <w:rPr>
          <w:b/>
          <w:bCs/>
          <w:noProof/>
          <w:sz w:val="24"/>
          <w:szCs w:val="24"/>
          <w:lang w:val="en-GB"/>
        </w:rPr>
      </w:pPr>
    </w:p>
    <w:p w14:paraId="62B5695F" w14:textId="64985C78" w:rsidR="00204E97" w:rsidRDefault="00204E97" w:rsidP="0067261B">
      <w:pPr>
        <w:spacing w:line="480" w:lineRule="auto"/>
        <w:rPr>
          <w:b/>
          <w:bCs/>
          <w:noProof/>
          <w:sz w:val="24"/>
          <w:szCs w:val="24"/>
          <w:lang w:val="en-GB"/>
        </w:rPr>
      </w:pPr>
    </w:p>
    <w:p w14:paraId="44204435" w14:textId="24E56C37" w:rsidR="00204E97" w:rsidRDefault="00204E97" w:rsidP="0067261B">
      <w:pPr>
        <w:spacing w:line="480" w:lineRule="auto"/>
        <w:rPr>
          <w:b/>
          <w:bCs/>
          <w:noProof/>
          <w:sz w:val="24"/>
          <w:szCs w:val="24"/>
          <w:lang w:val="en-GB"/>
        </w:rPr>
      </w:pPr>
    </w:p>
    <w:p w14:paraId="10752DFC" w14:textId="7A71D244" w:rsidR="00204E97" w:rsidRDefault="00204E97" w:rsidP="0067261B">
      <w:pPr>
        <w:spacing w:line="480" w:lineRule="auto"/>
        <w:rPr>
          <w:b/>
          <w:bCs/>
          <w:noProof/>
          <w:sz w:val="24"/>
          <w:szCs w:val="24"/>
          <w:lang w:val="en-GB"/>
        </w:rPr>
      </w:pPr>
    </w:p>
    <w:p w14:paraId="7B9C83F8" w14:textId="3E7FB84E" w:rsidR="00204E97" w:rsidRDefault="00204E97" w:rsidP="0067261B">
      <w:pPr>
        <w:spacing w:line="480" w:lineRule="auto"/>
        <w:rPr>
          <w:b/>
          <w:bCs/>
          <w:noProof/>
          <w:sz w:val="24"/>
          <w:szCs w:val="24"/>
          <w:lang w:val="en-GB"/>
        </w:rPr>
      </w:pPr>
    </w:p>
    <w:p w14:paraId="44CE61E0" w14:textId="3C8DAA8A" w:rsidR="00204E97" w:rsidRDefault="00204E97" w:rsidP="0067261B">
      <w:pPr>
        <w:spacing w:line="480" w:lineRule="auto"/>
        <w:rPr>
          <w:b/>
          <w:bCs/>
          <w:noProof/>
          <w:sz w:val="24"/>
          <w:szCs w:val="24"/>
          <w:lang w:val="en-GB"/>
        </w:rPr>
      </w:pPr>
    </w:p>
    <w:p w14:paraId="09DDE38A" w14:textId="206ECAC0" w:rsidR="00204E97" w:rsidRDefault="00204E97" w:rsidP="0067261B">
      <w:pPr>
        <w:spacing w:line="480" w:lineRule="auto"/>
        <w:rPr>
          <w:b/>
          <w:bCs/>
          <w:noProof/>
          <w:sz w:val="24"/>
          <w:szCs w:val="24"/>
          <w:lang w:val="en-GB"/>
        </w:rPr>
      </w:pPr>
    </w:p>
    <w:tbl>
      <w:tblPr>
        <w:tblStyle w:val="TableGrid"/>
        <w:tblpPr w:leftFromText="141" w:rightFromText="141" w:vertAnchor="page" w:horzAnchor="margin" w:tblpXSpec="center" w:tblpY="1465"/>
        <w:tblW w:w="8642" w:type="dxa"/>
        <w:jc w:val="center"/>
        <w:tblBorders>
          <w:left w:val="none" w:sz="0" w:space="0" w:color="auto"/>
          <w:right w:val="none" w:sz="0" w:space="0" w:color="auto"/>
        </w:tblBorders>
        <w:tblLook w:val="04A0" w:firstRow="1" w:lastRow="0" w:firstColumn="1" w:lastColumn="0" w:noHBand="0" w:noVBand="1"/>
      </w:tblPr>
      <w:tblGrid>
        <w:gridCol w:w="1691"/>
        <w:gridCol w:w="1434"/>
        <w:gridCol w:w="1006"/>
        <w:gridCol w:w="941"/>
        <w:gridCol w:w="1209"/>
        <w:gridCol w:w="1226"/>
        <w:gridCol w:w="1135"/>
      </w:tblGrid>
      <w:tr w:rsidR="00204E97" w:rsidRPr="007F2B25" w14:paraId="24A2459B" w14:textId="77777777" w:rsidTr="00AA0A6A">
        <w:trPr>
          <w:jc w:val="center"/>
        </w:trPr>
        <w:tc>
          <w:tcPr>
            <w:tcW w:w="8642" w:type="dxa"/>
            <w:gridSpan w:val="7"/>
            <w:tcBorders>
              <w:top w:val="nil"/>
              <w:bottom w:val="single" w:sz="4" w:space="0" w:color="auto"/>
            </w:tcBorders>
            <w:vAlign w:val="center"/>
          </w:tcPr>
          <w:p w14:paraId="3F04579F" w14:textId="77777777" w:rsidR="00204E97" w:rsidRPr="00A925B4" w:rsidRDefault="00204E97" w:rsidP="00AA0A6A">
            <w:pPr>
              <w:spacing w:line="360" w:lineRule="auto"/>
              <w:rPr>
                <w:b/>
                <w:bCs/>
                <w:sz w:val="24"/>
                <w:szCs w:val="24"/>
                <w:lang w:val="en-GB"/>
              </w:rPr>
            </w:pPr>
            <w:r w:rsidRPr="00A925B4">
              <w:rPr>
                <w:b/>
                <w:bCs/>
                <w:sz w:val="24"/>
                <w:szCs w:val="24"/>
                <w:lang w:val="en-GB"/>
              </w:rPr>
              <w:lastRenderedPageBreak/>
              <w:t xml:space="preserve">Table 2. Sample size and prevalence of heavy </w:t>
            </w:r>
            <w:r>
              <w:rPr>
                <w:b/>
                <w:bCs/>
                <w:sz w:val="24"/>
                <w:szCs w:val="24"/>
                <w:lang w:val="en-GB"/>
              </w:rPr>
              <w:t xml:space="preserve">Internet use </w:t>
            </w:r>
            <w:r w:rsidRPr="00A925B4">
              <w:rPr>
                <w:b/>
                <w:bCs/>
                <w:sz w:val="24"/>
                <w:szCs w:val="24"/>
                <w:lang w:val="en-GB"/>
              </w:rPr>
              <w:t>by country.</w:t>
            </w:r>
          </w:p>
        </w:tc>
      </w:tr>
      <w:tr w:rsidR="00204E97" w:rsidRPr="007F2B25" w14:paraId="7303FC35" w14:textId="77777777" w:rsidTr="00AA0A6A">
        <w:trPr>
          <w:jc w:val="center"/>
        </w:trPr>
        <w:tc>
          <w:tcPr>
            <w:tcW w:w="1682" w:type="dxa"/>
            <w:tcBorders>
              <w:left w:val="single" w:sz="4" w:space="0" w:color="auto"/>
              <w:bottom w:val="single" w:sz="4" w:space="0" w:color="auto"/>
              <w:right w:val="single" w:sz="4" w:space="0" w:color="auto"/>
            </w:tcBorders>
          </w:tcPr>
          <w:p w14:paraId="005512CB" w14:textId="77777777" w:rsidR="00204E97" w:rsidRPr="00A925B4" w:rsidRDefault="00204E97" w:rsidP="00AA0A6A">
            <w:pPr>
              <w:spacing w:after="160" w:line="360" w:lineRule="auto"/>
              <w:rPr>
                <w:b/>
                <w:bCs/>
                <w:sz w:val="24"/>
                <w:szCs w:val="24"/>
              </w:rPr>
            </w:pPr>
            <w:proofErr w:type="spellStart"/>
            <w:r w:rsidRPr="00A925B4">
              <w:rPr>
                <w:b/>
                <w:bCs/>
                <w:sz w:val="24"/>
                <w:szCs w:val="24"/>
              </w:rPr>
              <w:t>Geographical</w:t>
            </w:r>
            <w:proofErr w:type="spellEnd"/>
            <w:r w:rsidRPr="00A925B4">
              <w:rPr>
                <w:b/>
                <w:bCs/>
                <w:sz w:val="24"/>
                <w:szCs w:val="24"/>
              </w:rPr>
              <w:t xml:space="preserve"> </w:t>
            </w:r>
            <w:proofErr w:type="spellStart"/>
            <w:r w:rsidRPr="00A925B4">
              <w:rPr>
                <w:b/>
                <w:bCs/>
                <w:sz w:val="24"/>
                <w:szCs w:val="24"/>
              </w:rPr>
              <w:t>areas</w:t>
            </w:r>
            <w:proofErr w:type="spellEnd"/>
          </w:p>
        </w:tc>
        <w:tc>
          <w:tcPr>
            <w:tcW w:w="1426" w:type="dxa"/>
            <w:tcBorders>
              <w:left w:val="single" w:sz="4" w:space="0" w:color="auto"/>
              <w:bottom w:val="single" w:sz="4" w:space="0" w:color="auto"/>
              <w:right w:val="single" w:sz="4" w:space="0" w:color="auto"/>
            </w:tcBorders>
          </w:tcPr>
          <w:p w14:paraId="5ABEB429" w14:textId="77777777" w:rsidR="00204E97" w:rsidRPr="00A925B4" w:rsidRDefault="00204E97" w:rsidP="00AA0A6A">
            <w:pPr>
              <w:spacing w:after="160" w:line="360" w:lineRule="auto"/>
              <w:rPr>
                <w:b/>
                <w:bCs/>
                <w:sz w:val="24"/>
                <w:szCs w:val="24"/>
              </w:rPr>
            </w:pPr>
            <w:r w:rsidRPr="00A925B4">
              <w:rPr>
                <w:b/>
                <w:bCs/>
                <w:sz w:val="24"/>
                <w:szCs w:val="24"/>
              </w:rPr>
              <w:t>Country</w:t>
            </w:r>
          </w:p>
        </w:tc>
        <w:tc>
          <w:tcPr>
            <w:tcW w:w="1001" w:type="dxa"/>
            <w:tcBorders>
              <w:left w:val="single" w:sz="4" w:space="0" w:color="auto"/>
              <w:bottom w:val="single" w:sz="4" w:space="0" w:color="auto"/>
              <w:right w:val="single" w:sz="4" w:space="0" w:color="auto"/>
            </w:tcBorders>
          </w:tcPr>
          <w:p w14:paraId="61126E7F" w14:textId="77777777" w:rsidR="00204E97" w:rsidRPr="00A925B4" w:rsidRDefault="00204E97" w:rsidP="00AA0A6A">
            <w:pPr>
              <w:spacing w:after="160" w:line="360" w:lineRule="auto"/>
              <w:rPr>
                <w:b/>
                <w:bCs/>
                <w:sz w:val="24"/>
                <w:szCs w:val="24"/>
              </w:rPr>
            </w:pPr>
            <w:r w:rsidRPr="00A925B4">
              <w:rPr>
                <w:b/>
                <w:bCs/>
                <w:sz w:val="24"/>
                <w:szCs w:val="24"/>
              </w:rPr>
              <w:t>N</w:t>
            </w:r>
          </w:p>
        </w:tc>
        <w:tc>
          <w:tcPr>
            <w:tcW w:w="936" w:type="dxa"/>
            <w:tcBorders>
              <w:left w:val="single" w:sz="4" w:space="0" w:color="auto"/>
              <w:bottom w:val="single" w:sz="4" w:space="0" w:color="auto"/>
              <w:right w:val="single" w:sz="4" w:space="0" w:color="auto"/>
            </w:tcBorders>
          </w:tcPr>
          <w:p w14:paraId="1B25F20E" w14:textId="77777777" w:rsidR="00204E97" w:rsidRPr="00A925B4" w:rsidRDefault="00204E97" w:rsidP="00AA0A6A">
            <w:pPr>
              <w:spacing w:after="160" w:line="360" w:lineRule="auto"/>
              <w:rPr>
                <w:b/>
                <w:bCs/>
                <w:sz w:val="24"/>
                <w:szCs w:val="24"/>
              </w:rPr>
            </w:pPr>
            <w:proofErr w:type="spellStart"/>
            <w:r w:rsidRPr="00A925B4">
              <w:rPr>
                <w:b/>
                <w:bCs/>
                <w:sz w:val="24"/>
                <w:szCs w:val="24"/>
              </w:rPr>
              <w:t>Female</w:t>
            </w:r>
            <w:proofErr w:type="spellEnd"/>
            <w:r w:rsidRPr="00A925B4">
              <w:rPr>
                <w:b/>
                <w:bCs/>
                <w:sz w:val="24"/>
                <w:szCs w:val="24"/>
              </w:rPr>
              <w:t xml:space="preserve"> (%)</w:t>
            </w:r>
          </w:p>
        </w:tc>
        <w:tc>
          <w:tcPr>
            <w:tcW w:w="1203" w:type="dxa"/>
            <w:tcBorders>
              <w:left w:val="single" w:sz="4" w:space="0" w:color="auto"/>
              <w:bottom w:val="single" w:sz="4" w:space="0" w:color="auto"/>
              <w:right w:val="single" w:sz="4" w:space="0" w:color="auto"/>
            </w:tcBorders>
          </w:tcPr>
          <w:p w14:paraId="19C3B67D" w14:textId="77777777" w:rsidR="00204E97" w:rsidRPr="00A925B4" w:rsidRDefault="00204E97" w:rsidP="00AA0A6A">
            <w:pPr>
              <w:spacing w:after="160" w:line="360" w:lineRule="auto"/>
              <w:rPr>
                <w:b/>
                <w:bCs/>
                <w:sz w:val="24"/>
                <w:szCs w:val="24"/>
                <w:lang w:val="en-GB"/>
              </w:rPr>
            </w:pPr>
            <w:r w:rsidRPr="00A925B4">
              <w:rPr>
                <w:b/>
                <w:bCs/>
                <w:sz w:val="24"/>
                <w:szCs w:val="24"/>
                <w:lang w:val="en-GB"/>
              </w:rPr>
              <w:t xml:space="preserve">Heavy </w:t>
            </w:r>
            <w:r>
              <w:rPr>
                <w:b/>
                <w:bCs/>
                <w:sz w:val="24"/>
                <w:szCs w:val="24"/>
                <w:lang w:val="en-GB"/>
              </w:rPr>
              <w:t>Internet use</w:t>
            </w:r>
            <w:r w:rsidRPr="00A925B4">
              <w:rPr>
                <w:b/>
                <w:bCs/>
                <w:sz w:val="24"/>
                <w:szCs w:val="24"/>
                <w:lang w:val="en-GB"/>
              </w:rPr>
              <w:t xml:space="preserve"> during weekdays (%)</w:t>
            </w:r>
          </w:p>
        </w:tc>
        <w:tc>
          <w:tcPr>
            <w:tcW w:w="1220" w:type="dxa"/>
            <w:tcBorders>
              <w:left w:val="single" w:sz="4" w:space="0" w:color="auto"/>
              <w:bottom w:val="single" w:sz="4" w:space="0" w:color="auto"/>
              <w:right w:val="single" w:sz="4" w:space="0" w:color="auto"/>
            </w:tcBorders>
          </w:tcPr>
          <w:p w14:paraId="043CA41E" w14:textId="77777777" w:rsidR="00204E97" w:rsidRPr="00A925B4" w:rsidRDefault="00204E97" w:rsidP="00AA0A6A">
            <w:pPr>
              <w:spacing w:after="160" w:line="360" w:lineRule="auto"/>
              <w:rPr>
                <w:b/>
                <w:bCs/>
                <w:sz w:val="24"/>
                <w:szCs w:val="24"/>
                <w:lang w:val="en-GB"/>
              </w:rPr>
            </w:pPr>
            <w:r w:rsidRPr="00A925B4">
              <w:rPr>
                <w:b/>
                <w:bCs/>
                <w:sz w:val="24"/>
                <w:szCs w:val="24"/>
                <w:lang w:val="en-GB"/>
              </w:rPr>
              <w:t xml:space="preserve">Heavy </w:t>
            </w:r>
            <w:r>
              <w:rPr>
                <w:b/>
                <w:bCs/>
                <w:sz w:val="24"/>
                <w:szCs w:val="24"/>
                <w:lang w:val="en-GB"/>
              </w:rPr>
              <w:t>Internet use</w:t>
            </w:r>
            <w:r w:rsidRPr="00A925B4">
              <w:rPr>
                <w:b/>
                <w:bCs/>
                <w:sz w:val="24"/>
                <w:szCs w:val="24"/>
                <w:lang w:val="en-GB"/>
              </w:rPr>
              <w:t xml:space="preserve"> during weekends (%)</w:t>
            </w:r>
          </w:p>
        </w:tc>
        <w:tc>
          <w:tcPr>
            <w:tcW w:w="1174" w:type="dxa"/>
            <w:tcBorders>
              <w:left w:val="single" w:sz="4" w:space="0" w:color="auto"/>
              <w:bottom w:val="single" w:sz="4" w:space="0" w:color="auto"/>
              <w:right w:val="single" w:sz="4" w:space="0" w:color="auto"/>
            </w:tcBorders>
          </w:tcPr>
          <w:p w14:paraId="2570CA0C" w14:textId="77777777" w:rsidR="00204E97" w:rsidRPr="00A925B4" w:rsidRDefault="00204E97" w:rsidP="00AA0A6A">
            <w:pPr>
              <w:spacing w:line="360" w:lineRule="auto"/>
              <w:rPr>
                <w:b/>
                <w:bCs/>
                <w:sz w:val="24"/>
                <w:szCs w:val="24"/>
                <w:lang w:val="en-GB"/>
              </w:rPr>
            </w:pPr>
            <w:r w:rsidRPr="00A925B4">
              <w:rPr>
                <w:b/>
                <w:bCs/>
                <w:sz w:val="24"/>
                <w:szCs w:val="24"/>
                <w:lang w:val="en-GB"/>
              </w:rPr>
              <w:t xml:space="preserve">Heavy </w:t>
            </w:r>
            <w:r>
              <w:rPr>
                <w:b/>
                <w:bCs/>
                <w:sz w:val="24"/>
                <w:szCs w:val="24"/>
                <w:lang w:val="en-GB"/>
              </w:rPr>
              <w:t>Internet use</w:t>
            </w:r>
            <w:r w:rsidRPr="00A925B4">
              <w:rPr>
                <w:b/>
                <w:bCs/>
                <w:sz w:val="24"/>
                <w:szCs w:val="24"/>
                <w:lang w:val="en-GB"/>
              </w:rPr>
              <w:t xml:space="preserve"> in the school (%)</w:t>
            </w:r>
          </w:p>
        </w:tc>
      </w:tr>
      <w:tr w:rsidR="00204E97" w:rsidRPr="00D9232D" w14:paraId="35BA1810" w14:textId="77777777" w:rsidTr="00AA0A6A">
        <w:trPr>
          <w:jc w:val="center"/>
        </w:trPr>
        <w:tc>
          <w:tcPr>
            <w:tcW w:w="1682" w:type="dxa"/>
            <w:tcBorders>
              <w:left w:val="single" w:sz="4" w:space="0" w:color="auto"/>
              <w:bottom w:val="single" w:sz="4" w:space="0" w:color="auto"/>
              <w:right w:val="single" w:sz="4" w:space="0" w:color="auto"/>
            </w:tcBorders>
          </w:tcPr>
          <w:p w14:paraId="7AEF72E3" w14:textId="77777777" w:rsidR="00204E97" w:rsidRPr="00D9232D" w:rsidRDefault="00204E97" w:rsidP="00AA0A6A">
            <w:pPr>
              <w:spacing w:after="160" w:line="360" w:lineRule="auto"/>
              <w:rPr>
                <w:sz w:val="24"/>
                <w:szCs w:val="24"/>
                <w:lang w:val="en-GB"/>
              </w:rPr>
            </w:pPr>
          </w:p>
        </w:tc>
        <w:tc>
          <w:tcPr>
            <w:tcW w:w="1426" w:type="dxa"/>
            <w:tcBorders>
              <w:left w:val="single" w:sz="4" w:space="0" w:color="auto"/>
              <w:bottom w:val="single" w:sz="4" w:space="0" w:color="auto"/>
              <w:right w:val="single" w:sz="4" w:space="0" w:color="auto"/>
            </w:tcBorders>
          </w:tcPr>
          <w:p w14:paraId="4F17758F" w14:textId="77777777" w:rsidR="00204E97" w:rsidRPr="00D9232D" w:rsidRDefault="00204E97" w:rsidP="00AA0A6A">
            <w:pPr>
              <w:spacing w:after="160" w:line="360" w:lineRule="auto"/>
              <w:rPr>
                <w:sz w:val="24"/>
                <w:szCs w:val="24"/>
              </w:rPr>
            </w:pPr>
            <w:proofErr w:type="spellStart"/>
            <w:r w:rsidRPr="00D9232D">
              <w:rPr>
                <w:sz w:val="24"/>
                <w:szCs w:val="24"/>
              </w:rPr>
              <w:t>Overall</w:t>
            </w:r>
            <w:proofErr w:type="spellEnd"/>
          </w:p>
        </w:tc>
        <w:tc>
          <w:tcPr>
            <w:tcW w:w="1001" w:type="dxa"/>
            <w:tcBorders>
              <w:left w:val="single" w:sz="4" w:space="0" w:color="auto"/>
              <w:bottom w:val="single" w:sz="4" w:space="0" w:color="auto"/>
              <w:right w:val="single" w:sz="4" w:space="0" w:color="auto"/>
            </w:tcBorders>
          </w:tcPr>
          <w:p w14:paraId="5205DBF8" w14:textId="77777777" w:rsidR="00204E97" w:rsidRPr="00D9232D" w:rsidRDefault="00204E97" w:rsidP="00AA0A6A">
            <w:pPr>
              <w:spacing w:after="160" w:line="360" w:lineRule="auto"/>
              <w:rPr>
                <w:sz w:val="24"/>
                <w:szCs w:val="24"/>
              </w:rPr>
            </w:pPr>
            <w:bookmarkStart w:id="30" w:name="_Hlk60762205"/>
            <w:r w:rsidRPr="00D9232D">
              <w:rPr>
                <w:sz w:val="24"/>
                <w:szCs w:val="24"/>
              </w:rPr>
              <w:t>317,443</w:t>
            </w:r>
            <w:bookmarkEnd w:id="30"/>
          </w:p>
        </w:tc>
        <w:tc>
          <w:tcPr>
            <w:tcW w:w="936" w:type="dxa"/>
            <w:tcBorders>
              <w:left w:val="single" w:sz="4" w:space="0" w:color="auto"/>
              <w:bottom w:val="single" w:sz="4" w:space="0" w:color="auto"/>
              <w:right w:val="single" w:sz="4" w:space="0" w:color="auto"/>
            </w:tcBorders>
          </w:tcPr>
          <w:p w14:paraId="45D49DF2" w14:textId="77777777" w:rsidR="00204E97" w:rsidRPr="00D9232D" w:rsidRDefault="00204E97" w:rsidP="00AA0A6A">
            <w:pPr>
              <w:spacing w:after="160" w:line="360" w:lineRule="auto"/>
              <w:rPr>
                <w:sz w:val="24"/>
                <w:szCs w:val="24"/>
              </w:rPr>
            </w:pPr>
            <w:r w:rsidRPr="00D9232D">
              <w:rPr>
                <w:sz w:val="24"/>
                <w:szCs w:val="24"/>
              </w:rPr>
              <w:t>50.8</w:t>
            </w:r>
          </w:p>
        </w:tc>
        <w:tc>
          <w:tcPr>
            <w:tcW w:w="1203" w:type="dxa"/>
            <w:tcBorders>
              <w:left w:val="single" w:sz="4" w:space="0" w:color="auto"/>
              <w:bottom w:val="single" w:sz="4" w:space="0" w:color="auto"/>
              <w:right w:val="single" w:sz="4" w:space="0" w:color="auto"/>
            </w:tcBorders>
          </w:tcPr>
          <w:p w14:paraId="08BC397D" w14:textId="77777777" w:rsidR="00204E97" w:rsidRPr="00D9232D" w:rsidRDefault="00204E97" w:rsidP="00AA0A6A">
            <w:pPr>
              <w:spacing w:after="160" w:line="360" w:lineRule="auto"/>
              <w:rPr>
                <w:sz w:val="24"/>
                <w:szCs w:val="24"/>
              </w:rPr>
            </w:pPr>
            <w:r w:rsidRPr="00D9232D">
              <w:rPr>
                <w:sz w:val="24"/>
                <w:szCs w:val="24"/>
              </w:rPr>
              <w:t>66.9</w:t>
            </w:r>
          </w:p>
        </w:tc>
        <w:tc>
          <w:tcPr>
            <w:tcW w:w="1220" w:type="dxa"/>
            <w:tcBorders>
              <w:left w:val="single" w:sz="4" w:space="0" w:color="auto"/>
              <w:bottom w:val="single" w:sz="4" w:space="0" w:color="auto"/>
              <w:right w:val="single" w:sz="4" w:space="0" w:color="auto"/>
            </w:tcBorders>
          </w:tcPr>
          <w:p w14:paraId="37F62B74" w14:textId="77777777" w:rsidR="00204E97" w:rsidRPr="00D9232D" w:rsidRDefault="00204E97" w:rsidP="00AA0A6A">
            <w:pPr>
              <w:spacing w:after="160" w:line="360" w:lineRule="auto"/>
              <w:rPr>
                <w:sz w:val="24"/>
                <w:szCs w:val="24"/>
              </w:rPr>
            </w:pPr>
            <w:r w:rsidRPr="00D9232D">
              <w:rPr>
                <w:sz w:val="24"/>
                <w:szCs w:val="24"/>
              </w:rPr>
              <w:t>77.1</w:t>
            </w:r>
          </w:p>
        </w:tc>
        <w:tc>
          <w:tcPr>
            <w:tcW w:w="1174" w:type="dxa"/>
            <w:tcBorders>
              <w:left w:val="single" w:sz="4" w:space="0" w:color="auto"/>
              <w:bottom w:val="single" w:sz="4" w:space="0" w:color="auto"/>
              <w:right w:val="single" w:sz="4" w:space="0" w:color="auto"/>
            </w:tcBorders>
          </w:tcPr>
          <w:p w14:paraId="79EDE012" w14:textId="77777777" w:rsidR="00204E97" w:rsidRPr="00D9232D" w:rsidRDefault="00204E97" w:rsidP="00AA0A6A">
            <w:pPr>
              <w:spacing w:line="360" w:lineRule="auto"/>
              <w:rPr>
                <w:sz w:val="24"/>
                <w:szCs w:val="24"/>
              </w:rPr>
            </w:pPr>
            <w:r w:rsidRPr="00D9232D">
              <w:rPr>
                <w:sz w:val="24"/>
                <w:szCs w:val="24"/>
              </w:rPr>
              <w:t>23.2</w:t>
            </w:r>
          </w:p>
        </w:tc>
      </w:tr>
      <w:tr w:rsidR="00204E97" w:rsidRPr="00D9232D" w14:paraId="15D1F37D"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F39EBAA" w14:textId="67437426" w:rsidR="00204E97" w:rsidRPr="00D9232D" w:rsidRDefault="00204E97" w:rsidP="00AA0A6A">
            <w:pPr>
              <w:spacing w:after="160" w:line="360" w:lineRule="auto"/>
              <w:rPr>
                <w:sz w:val="24"/>
                <w:szCs w:val="24"/>
              </w:rPr>
            </w:pPr>
            <w:proofErr w:type="spellStart"/>
            <w:r w:rsidRPr="00D9232D">
              <w:rPr>
                <w:sz w:val="24"/>
                <w:szCs w:val="24"/>
              </w:rPr>
              <w:t>America</w:t>
            </w:r>
            <w:r w:rsidR="00C82E6D">
              <w:rPr>
                <w:sz w:val="24"/>
                <w:szCs w:val="24"/>
              </w:rPr>
              <w:t>s</w:t>
            </w:r>
            <w:proofErr w:type="spellEnd"/>
            <w:r w:rsidRPr="00D9232D">
              <w:rPr>
                <w:sz w:val="24"/>
                <w:szCs w:val="24"/>
              </w:rPr>
              <w:t xml:space="preserve"> A</w:t>
            </w:r>
          </w:p>
        </w:tc>
        <w:tc>
          <w:tcPr>
            <w:tcW w:w="1426" w:type="dxa"/>
            <w:tcBorders>
              <w:top w:val="single" w:sz="4" w:space="0" w:color="auto"/>
              <w:left w:val="single" w:sz="4" w:space="0" w:color="auto"/>
              <w:bottom w:val="single" w:sz="4" w:space="0" w:color="auto"/>
              <w:right w:val="single" w:sz="4" w:space="0" w:color="auto"/>
            </w:tcBorders>
          </w:tcPr>
          <w:p w14:paraId="2C12A809" w14:textId="77777777" w:rsidR="00204E97" w:rsidRPr="00D9232D" w:rsidRDefault="00204E97" w:rsidP="00AA0A6A">
            <w:pPr>
              <w:spacing w:after="160" w:line="360" w:lineRule="auto"/>
              <w:rPr>
                <w:sz w:val="24"/>
                <w:szCs w:val="24"/>
              </w:rPr>
            </w:pPr>
            <w:proofErr w:type="spellStart"/>
            <w:r w:rsidRPr="00D9232D">
              <w:rPr>
                <w:sz w:val="24"/>
                <w:szCs w:val="24"/>
              </w:rPr>
              <w:t>United</w:t>
            </w:r>
            <w:proofErr w:type="spellEnd"/>
            <w:r w:rsidRPr="00D9232D">
              <w:rPr>
                <w:sz w:val="24"/>
                <w:szCs w:val="24"/>
              </w:rPr>
              <w:t xml:space="preserve"> States</w:t>
            </w:r>
          </w:p>
        </w:tc>
        <w:tc>
          <w:tcPr>
            <w:tcW w:w="1001" w:type="dxa"/>
            <w:tcBorders>
              <w:top w:val="single" w:sz="4" w:space="0" w:color="auto"/>
              <w:left w:val="single" w:sz="4" w:space="0" w:color="auto"/>
              <w:bottom w:val="single" w:sz="4" w:space="0" w:color="auto"/>
              <w:right w:val="single" w:sz="4" w:space="0" w:color="auto"/>
            </w:tcBorders>
          </w:tcPr>
          <w:p w14:paraId="62C51B7D" w14:textId="77777777" w:rsidR="00204E97" w:rsidRPr="00D9232D" w:rsidRDefault="00204E97" w:rsidP="00AA0A6A">
            <w:pPr>
              <w:spacing w:after="160" w:line="360" w:lineRule="auto"/>
              <w:rPr>
                <w:sz w:val="24"/>
                <w:szCs w:val="24"/>
              </w:rPr>
            </w:pPr>
            <w:r w:rsidRPr="00D9232D">
              <w:rPr>
                <w:sz w:val="24"/>
                <w:szCs w:val="24"/>
              </w:rPr>
              <w:t>4,081</w:t>
            </w:r>
          </w:p>
        </w:tc>
        <w:tc>
          <w:tcPr>
            <w:tcW w:w="936" w:type="dxa"/>
            <w:tcBorders>
              <w:top w:val="single" w:sz="4" w:space="0" w:color="auto"/>
              <w:left w:val="single" w:sz="4" w:space="0" w:color="auto"/>
              <w:bottom w:val="single" w:sz="4" w:space="0" w:color="auto"/>
              <w:right w:val="single" w:sz="4" w:space="0" w:color="auto"/>
            </w:tcBorders>
          </w:tcPr>
          <w:p w14:paraId="3EBC696B" w14:textId="77777777" w:rsidR="00204E97" w:rsidRPr="00D9232D" w:rsidRDefault="00204E97" w:rsidP="00AA0A6A">
            <w:pPr>
              <w:spacing w:after="160" w:line="360" w:lineRule="auto"/>
              <w:rPr>
                <w:sz w:val="24"/>
                <w:szCs w:val="24"/>
              </w:rPr>
            </w:pPr>
            <w:r w:rsidRPr="00D9232D">
              <w:rPr>
                <w:sz w:val="24"/>
                <w:szCs w:val="24"/>
              </w:rPr>
              <w:t>49.9</w:t>
            </w:r>
          </w:p>
        </w:tc>
        <w:tc>
          <w:tcPr>
            <w:tcW w:w="1203" w:type="dxa"/>
            <w:tcBorders>
              <w:top w:val="single" w:sz="4" w:space="0" w:color="auto"/>
              <w:left w:val="single" w:sz="4" w:space="0" w:color="auto"/>
              <w:bottom w:val="single" w:sz="4" w:space="0" w:color="auto"/>
              <w:right w:val="single" w:sz="4" w:space="0" w:color="auto"/>
            </w:tcBorders>
          </w:tcPr>
          <w:p w14:paraId="5D2513FF" w14:textId="77777777" w:rsidR="00204E97" w:rsidRPr="00D9232D" w:rsidRDefault="00204E97" w:rsidP="00AA0A6A">
            <w:pPr>
              <w:spacing w:after="160" w:line="360" w:lineRule="auto"/>
              <w:rPr>
                <w:sz w:val="24"/>
                <w:szCs w:val="24"/>
              </w:rPr>
            </w:pPr>
            <w:r w:rsidRPr="00D9232D">
              <w:rPr>
                <w:sz w:val="24"/>
                <w:szCs w:val="24"/>
              </w:rPr>
              <w:t>77.5</w:t>
            </w:r>
          </w:p>
        </w:tc>
        <w:tc>
          <w:tcPr>
            <w:tcW w:w="1220" w:type="dxa"/>
            <w:tcBorders>
              <w:top w:val="single" w:sz="4" w:space="0" w:color="auto"/>
              <w:left w:val="single" w:sz="4" w:space="0" w:color="auto"/>
              <w:bottom w:val="single" w:sz="4" w:space="0" w:color="auto"/>
              <w:right w:val="single" w:sz="4" w:space="0" w:color="auto"/>
            </w:tcBorders>
          </w:tcPr>
          <w:p w14:paraId="727D0D94" w14:textId="77777777" w:rsidR="00204E97" w:rsidRPr="00D9232D" w:rsidRDefault="00204E97" w:rsidP="00AA0A6A">
            <w:pPr>
              <w:spacing w:after="160" w:line="360" w:lineRule="auto"/>
              <w:rPr>
                <w:sz w:val="24"/>
                <w:szCs w:val="24"/>
              </w:rPr>
            </w:pPr>
            <w:r w:rsidRPr="00D9232D">
              <w:rPr>
                <w:sz w:val="24"/>
                <w:szCs w:val="24"/>
              </w:rPr>
              <w:t>82.6</w:t>
            </w:r>
          </w:p>
        </w:tc>
        <w:tc>
          <w:tcPr>
            <w:tcW w:w="1174" w:type="dxa"/>
            <w:tcBorders>
              <w:top w:val="single" w:sz="4" w:space="0" w:color="auto"/>
              <w:left w:val="single" w:sz="4" w:space="0" w:color="auto"/>
              <w:bottom w:val="single" w:sz="4" w:space="0" w:color="auto"/>
              <w:right w:val="single" w:sz="4" w:space="0" w:color="auto"/>
            </w:tcBorders>
          </w:tcPr>
          <w:p w14:paraId="427ECED7" w14:textId="77777777" w:rsidR="00204E97" w:rsidRPr="00D9232D" w:rsidRDefault="00204E97" w:rsidP="00AA0A6A">
            <w:pPr>
              <w:spacing w:line="360" w:lineRule="auto"/>
              <w:rPr>
                <w:sz w:val="24"/>
                <w:szCs w:val="24"/>
              </w:rPr>
            </w:pPr>
            <w:r w:rsidRPr="00D9232D">
              <w:rPr>
                <w:sz w:val="24"/>
                <w:szCs w:val="24"/>
              </w:rPr>
              <w:t>38.6</w:t>
            </w:r>
          </w:p>
        </w:tc>
      </w:tr>
      <w:tr w:rsidR="00204E97" w:rsidRPr="00D9232D" w14:paraId="5BC6107C"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276ACAC" w14:textId="21CBC66D" w:rsidR="00204E97" w:rsidRPr="00D9232D" w:rsidRDefault="00204E97" w:rsidP="00AA0A6A">
            <w:pPr>
              <w:spacing w:after="160" w:line="360" w:lineRule="auto"/>
              <w:rPr>
                <w:sz w:val="24"/>
                <w:szCs w:val="24"/>
              </w:rPr>
            </w:pPr>
            <w:proofErr w:type="spellStart"/>
            <w:r w:rsidRPr="00D9232D">
              <w:rPr>
                <w:sz w:val="24"/>
                <w:szCs w:val="24"/>
              </w:rPr>
              <w:t>America</w:t>
            </w:r>
            <w:r w:rsidR="00C82E6D">
              <w:rPr>
                <w:sz w:val="24"/>
                <w:szCs w:val="24"/>
              </w:rPr>
              <w:t>s</w:t>
            </w:r>
            <w:proofErr w:type="spellEnd"/>
            <w:r w:rsidRPr="00D9232D">
              <w:rPr>
                <w:sz w:val="24"/>
                <w:szCs w:val="24"/>
              </w:rPr>
              <w:t xml:space="preserve"> B/C</w:t>
            </w:r>
          </w:p>
        </w:tc>
        <w:tc>
          <w:tcPr>
            <w:tcW w:w="1426" w:type="dxa"/>
            <w:tcBorders>
              <w:top w:val="single" w:sz="4" w:space="0" w:color="auto"/>
              <w:left w:val="single" w:sz="4" w:space="0" w:color="auto"/>
              <w:bottom w:val="single" w:sz="4" w:space="0" w:color="auto"/>
              <w:right w:val="single" w:sz="4" w:space="0" w:color="auto"/>
            </w:tcBorders>
          </w:tcPr>
          <w:p w14:paraId="0DCB070C" w14:textId="77777777" w:rsidR="00204E97" w:rsidRPr="00D9232D" w:rsidRDefault="00204E97" w:rsidP="00AA0A6A">
            <w:pPr>
              <w:spacing w:after="160" w:line="360" w:lineRule="auto"/>
              <w:rPr>
                <w:sz w:val="24"/>
                <w:szCs w:val="24"/>
              </w:rPr>
            </w:pPr>
            <w:proofErr w:type="spellStart"/>
            <w:r w:rsidRPr="00D9232D">
              <w:rPr>
                <w:sz w:val="24"/>
                <w:szCs w:val="24"/>
              </w:rPr>
              <w:t>Brazil</w:t>
            </w:r>
            <w:proofErr w:type="spellEnd"/>
          </w:p>
        </w:tc>
        <w:tc>
          <w:tcPr>
            <w:tcW w:w="1001" w:type="dxa"/>
            <w:tcBorders>
              <w:top w:val="single" w:sz="4" w:space="0" w:color="auto"/>
              <w:left w:val="single" w:sz="4" w:space="0" w:color="auto"/>
              <w:bottom w:val="single" w:sz="4" w:space="0" w:color="auto"/>
              <w:right w:val="single" w:sz="4" w:space="0" w:color="auto"/>
            </w:tcBorders>
          </w:tcPr>
          <w:p w14:paraId="40DA128E" w14:textId="77777777" w:rsidR="00204E97" w:rsidRPr="00D9232D" w:rsidRDefault="00204E97" w:rsidP="00AA0A6A">
            <w:pPr>
              <w:spacing w:after="160" w:line="360" w:lineRule="auto"/>
              <w:rPr>
                <w:sz w:val="24"/>
                <w:szCs w:val="24"/>
              </w:rPr>
            </w:pPr>
            <w:r w:rsidRPr="00D9232D">
              <w:rPr>
                <w:sz w:val="24"/>
                <w:szCs w:val="24"/>
              </w:rPr>
              <w:t>7,450</w:t>
            </w:r>
          </w:p>
        </w:tc>
        <w:tc>
          <w:tcPr>
            <w:tcW w:w="936" w:type="dxa"/>
            <w:tcBorders>
              <w:top w:val="single" w:sz="4" w:space="0" w:color="auto"/>
              <w:left w:val="single" w:sz="4" w:space="0" w:color="auto"/>
              <w:bottom w:val="single" w:sz="4" w:space="0" w:color="auto"/>
              <w:right w:val="single" w:sz="4" w:space="0" w:color="auto"/>
            </w:tcBorders>
          </w:tcPr>
          <w:p w14:paraId="09069819" w14:textId="77777777" w:rsidR="00204E97" w:rsidRPr="00D9232D" w:rsidRDefault="00204E97" w:rsidP="00AA0A6A">
            <w:pPr>
              <w:spacing w:after="160" w:line="360" w:lineRule="auto"/>
              <w:rPr>
                <w:sz w:val="24"/>
                <w:szCs w:val="24"/>
              </w:rPr>
            </w:pPr>
            <w:r w:rsidRPr="00D9232D">
              <w:rPr>
                <w:sz w:val="24"/>
                <w:szCs w:val="24"/>
              </w:rPr>
              <w:t>52.6</w:t>
            </w:r>
          </w:p>
        </w:tc>
        <w:tc>
          <w:tcPr>
            <w:tcW w:w="1203" w:type="dxa"/>
            <w:tcBorders>
              <w:top w:val="single" w:sz="4" w:space="0" w:color="auto"/>
              <w:left w:val="single" w:sz="4" w:space="0" w:color="auto"/>
              <w:bottom w:val="single" w:sz="4" w:space="0" w:color="auto"/>
              <w:right w:val="single" w:sz="4" w:space="0" w:color="auto"/>
            </w:tcBorders>
          </w:tcPr>
          <w:p w14:paraId="5D05A7A2" w14:textId="77777777" w:rsidR="00204E97" w:rsidRPr="00D9232D" w:rsidRDefault="00204E97" w:rsidP="00AA0A6A">
            <w:pPr>
              <w:spacing w:after="160" w:line="360" w:lineRule="auto"/>
              <w:rPr>
                <w:sz w:val="24"/>
                <w:szCs w:val="24"/>
              </w:rPr>
            </w:pPr>
            <w:r w:rsidRPr="00D9232D">
              <w:rPr>
                <w:sz w:val="24"/>
                <w:szCs w:val="24"/>
              </w:rPr>
              <w:t>71.6</w:t>
            </w:r>
          </w:p>
        </w:tc>
        <w:tc>
          <w:tcPr>
            <w:tcW w:w="1220" w:type="dxa"/>
            <w:tcBorders>
              <w:top w:val="single" w:sz="4" w:space="0" w:color="auto"/>
              <w:left w:val="single" w:sz="4" w:space="0" w:color="auto"/>
              <w:bottom w:val="single" w:sz="4" w:space="0" w:color="auto"/>
              <w:right w:val="single" w:sz="4" w:space="0" w:color="auto"/>
            </w:tcBorders>
          </w:tcPr>
          <w:p w14:paraId="3CFCE6AA" w14:textId="77777777" w:rsidR="00204E97" w:rsidRPr="00D9232D" w:rsidRDefault="00204E97" w:rsidP="00AA0A6A">
            <w:pPr>
              <w:spacing w:after="160" w:line="360" w:lineRule="auto"/>
              <w:rPr>
                <w:sz w:val="24"/>
                <w:szCs w:val="24"/>
              </w:rPr>
            </w:pPr>
            <w:r w:rsidRPr="00D9232D">
              <w:rPr>
                <w:sz w:val="24"/>
                <w:szCs w:val="24"/>
              </w:rPr>
              <w:t>76.6</w:t>
            </w:r>
          </w:p>
        </w:tc>
        <w:tc>
          <w:tcPr>
            <w:tcW w:w="1174" w:type="dxa"/>
            <w:tcBorders>
              <w:top w:val="single" w:sz="4" w:space="0" w:color="auto"/>
              <w:left w:val="single" w:sz="4" w:space="0" w:color="auto"/>
              <w:bottom w:val="single" w:sz="4" w:space="0" w:color="auto"/>
              <w:right w:val="single" w:sz="4" w:space="0" w:color="auto"/>
            </w:tcBorders>
          </w:tcPr>
          <w:p w14:paraId="4D29E86A" w14:textId="77777777" w:rsidR="00204E97" w:rsidRPr="00D9232D" w:rsidRDefault="00204E97" w:rsidP="00AA0A6A">
            <w:pPr>
              <w:spacing w:line="360" w:lineRule="auto"/>
              <w:rPr>
                <w:sz w:val="24"/>
                <w:szCs w:val="24"/>
              </w:rPr>
            </w:pPr>
            <w:r w:rsidRPr="00D9232D">
              <w:rPr>
                <w:sz w:val="24"/>
                <w:szCs w:val="24"/>
              </w:rPr>
              <w:t>14.6</w:t>
            </w:r>
          </w:p>
        </w:tc>
      </w:tr>
      <w:tr w:rsidR="00204E97" w:rsidRPr="00D9232D" w14:paraId="6DF903A5"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5873470D"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5979AE0A" w14:textId="77777777" w:rsidR="00204E97" w:rsidRPr="00D9232D" w:rsidRDefault="00204E97" w:rsidP="00AA0A6A">
            <w:pPr>
              <w:spacing w:after="160" w:line="360" w:lineRule="auto"/>
              <w:rPr>
                <w:sz w:val="24"/>
                <w:szCs w:val="24"/>
              </w:rPr>
            </w:pPr>
            <w:r w:rsidRPr="00D9232D">
              <w:rPr>
                <w:sz w:val="24"/>
                <w:szCs w:val="24"/>
              </w:rPr>
              <w:t>Chile</w:t>
            </w:r>
          </w:p>
        </w:tc>
        <w:tc>
          <w:tcPr>
            <w:tcW w:w="1001" w:type="dxa"/>
            <w:tcBorders>
              <w:top w:val="single" w:sz="4" w:space="0" w:color="auto"/>
              <w:left w:val="single" w:sz="4" w:space="0" w:color="auto"/>
              <w:bottom w:val="single" w:sz="4" w:space="0" w:color="auto"/>
              <w:right w:val="single" w:sz="4" w:space="0" w:color="auto"/>
            </w:tcBorders>
          </w:tcPr>
          <w:p w14:paraId="2C169A30" w14:textId="77777777" w:rsidR="00204E97" w:rsidRPr="00D9232D" w:rsidRDefault="00204E97" w:rsidP="00AA0A6A">
            <w:pPr>
              <w:spacing w:after="160" w:line="360" w:lineRule="auto"/>
              <w:rPr>
                <w:sz w:val="24"/>
                <w:szCs w:val="24"/>
              </w:rPr>
            </w:pPr>
            <w:r w:rsidRPr="00D9232D">
              <w:rPr>
                <w:sz w:val="24"/>
                <w:szCs w:val="24"/>
              </w:rPr>
              <w:t>6,016</w:t>
            </w:r>
          </w:p>
        </w:tc>
        <w:tc>
          <w:tcPr>
            <w:tcW w:w="936" w:type="dxa"/>
            <w:tcBorders>
              <w:top w:val="single" w:sz="4" w:space="0" w:color="auto"/>
              <w:left w:val="single" w:sz="4" w:space="0" w:color="auto"/>
              <w:bottom w:val="single" w:sz="4" w:space="0" w:color="auto"/>
              <w:right w:val="single" w:sz="4" w:space="0" w:color="auto"/>
            </w:tcBorders>
          </w:tcPr>
          <w:p w14:paraId="7A25F422" w14:textId="77777777" w:rsidR="00204E97" w:rsidRPr="00D9232D" w:rsidRDefault="00204E97" w:rsidP="00AA0A6A">
            <w:pPr>
              <w:spacing w:after="160" w:line="360" w:lineRule="auto"/>
              <w:rPr>
                <w:sz w:val="24"/>
                <w:szCs w:val="24"/>
              </w:rPr>
            </w:pPr>
            <w:r w:rsidRPr="00D9232D">
              <w:rPr>
                <w:sz w:val="24"/>
                <w:szCs w:val="24"/>
              </w:rPr>
              <w:t>49.8</w:t>
            </w:r>
          </w:p>
        </w:tc>
        <w:tc>
          <w:tcPr>
            <w:tcW w:w="1203" w:type="dxa"/>
            <w:tcBorders>
              <w:top w:val="single" w:sz="4" w:space="0" w:color="auto"/>
              <w:left w:val="single" w:sz="4" w:space="0" w:color="auto"/>
              <w:bottom w:val="single" w:sz="4" w:space="0" w:color="auto"/>
              <w:right w:val="single" w:sz="4" w:space="0" w:color="auto"/>
            </w:tcBorders>
          </w:tcPr>
          <w:p w14:paraId="1D13AE3F" w14:textId="77777777" w:rsidR="00204E97" w:rsidRPr="00D9232D" w:rsidRDefault="00204E97" w:rsidP="00AA0A6A">
            <w:pPr>
              <w:spacing w:after="160" w:line="360" w:lineRule="auto"/>
              <w:rPr>
                <w:sz w:val="24"/>
                <w:szCs w:val="24"/>
              </w:rPr>
            </w:pPr>
            <w:r w:rsidRPr="00D9232D">
              <w:rPr>
                <w:sz w:val="24"/>
                <w:szCs w:val="24"/>
              </w:rPr>
              <w:t>77.5</w:t>
            </w:r>
          </w:p>
        </w:tc>
        <w:tc>
          <w:tcPr>
            <w:tcW w:w="1220" w:type="dxa"/>
            <w:tcBorders>
              <w:top w:val="single" w:sz="4" w:space="0" w:color="auto"/>
              <w:left w:val="single" w:sz="4" w:space="0" w:color="auto"/>
              <w:bottom w:val="single" w:sz="4" w:space="0" w:color="auto"/>
              <w:right w:val="single" w:sz="4" w:space="0" w:color="auto"/>
            </w:tcBorders>
          </w:tcPr>
          <w:p w14:paraId="17105DF6" w14:textId="77777777" w:rsidR="00204E97" w:rsidRPr="00D9232D" w:rsidRDefault="00204E97" w:rsidP="00AA0A6A">
            <w:pPr>
              <w:spacing w:after="160" w:line="360" w:lineRule="auto"/>
              <w:rPr>
                <w:sz w:val="24"/>
                <w:szCs w:val="24"/>
              </w:rPr>
            </w:pPr>
            <w:r w:rsidRPr="00D9232D">
              <w:rPr>
                <w:sz w:val="24"/>
                <w:szCs w:val="24"/>
              </w:rPr>
              <w:t>83.9</w:t>
            </w:r>
          </w:p>
        </w:tc>
        <w:tc>
          <w:tcPr>
            <w:tcW w:w="1174" w:type="dxa"/>
            <w:tcBorders>
              <w:top w:val="single" w:sz="4" w:space="0" w:color="auto"/>
              <w:left w:val="single" w:sz="4" w:space="0" w:color="auto"/>
              <w:bottom w:val="single" w:sz="4" w:space="0" w:color="auto"/>
              <w:right w:val="single" w:sz="4" w:space="0" w:color="auto"/>
            </w:tcBorders>
          </w:tcPr>
          <w:p w14:paraId="69F16D3F" w14:textId="77777777" w:rsidR="00204E97" w:rsidRPr="00D9232D" w:rsidRDefault="00204E97" w:rsidP="00AA0A6A">
            <w:pPr>
              <w:spacing w:line="360" w:lineRule="auto"/>
              <w:rPr>
                <w:sz w:val="24"/>
                <w:szCs w:val="24"/>
              </w:rPr>
            </w:pPr>
            <w:r w:rsidRPr="00D9232D">
              <w:rPr>
                <w:sz w:val="24"/>
                <w:szCs w:val="24"/>
              </w:rPr>
              <w:t>32.1</w:t>
            </w:r>
          </w:p>
        </w:tc>
      </w:tr>
      <w:tr w:rsidR="00204E97" w:rsidRPr="00D9232D" w14:paraId="613BE0E2"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050DB127"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7951E155" w14:textId="77777777" w:rsidR="00204E97" w:rsidRPr="00D9232D" w:rsidRDefault="00204E97" w:rsidP="00AA0A6A">
            <w:pPr>
              <w:spacing w:after="160" w:line="360" w:lineRule="auto"/>
              <w:rPr>
                <w:sz w:val="24"/>
                <w:szCs w:val="24"/>
              </w:rPr>
            </w:pPr>
            <w:r w:rsidRPr="00D9232D">
              <w:rPr>
                <w:sz w:val="24"/>
                <w:szCs w:val="24"/>
              </w:rPr>
              <w:t>Costa Rica</w:t>
            </w:r>
          </w:p>
        </w:tc>
        <w:tc>
          <w:tcPr>
            <w:tcW w:w="1001" w:type="dxa"/>
            <w:tcBorders>
              <w:top w:val="single" w:sz="4" w:space="0" w:color="auto"/>
              <w:left w:val="single" w:sz="4" w:space="0" w:color="auto"/>
              <w:bottom w:val="single" w:sz="4" w:space="0" w:color="auto"/>
              <w:right w:val="single" w:sz="4" w:space="0" w:color="auto"/>
            </w:tcBorders>
          </w:tcPr>
          <w:p w14:paraId="553E749C" w14:textId="77777777" w:rsidR="00204E97" w:rsidRPr="00D9232D" w:rsidRDefault="00204E97" w:rsidP="00AA0A6A">
            <w:pPr>
              <w:spacing w:after="160" w:line="360" w:lineRule="auto"/>
              <w:rPr>
                <w:sz w:val="24"/>
                <w:szCs w:val="24"/>
              </w:rPr>
            </w:pPr>
            <w:r w:rsidRPr="00D9232D">
              <w:rPr>
                <w:sz w:val="24"/>
                <w:szCs w:val="24"/>
              </w:rPr>
              <w:t>5,887</w:t>
            </w:r>
          </w:p>
        </w:tc>
        <w:tc>
          <w:tcPr>
            <w:tcW w:w="936" w:type="dxa"/>
            <w:tcBorders>
              <w:top w:val="single" w:sz="4" w:space="0" w:color="auto"/>
              <w:left w:val="single" w:sz="4" w:space="0" w:color="auto"/>
              <w:bottom w:val="single" w:sz="4" w:space="0" w:color="auto"/>
              <w:right w:val="single" w:sz="4" w:space="0" w:color="auto"/>
            </w:tcBorders>
          </w:tcPr>
          <w:p w14:paraId="580C72E4" w14:textId="77777777" w:rsidR="00204E97" w:rsidRPr="00D9232D" w:rsidRDefault="00204E97" w:rsidP="00AA0A6A">
            <w:pPr>
              <w:spacing w:after="160" w:line="360" w:lineRule="auto"/>
              <w:rPr>
                <w:sz w:val="24"/>
                <w:szCs w:val="24"/>
              </w:rPr>
            </w:pPr>
            <w:r w:rsidRPr="00D9232D">
              <w:rPr>
                <w:sz w:val="24"/>
                <w:szCs w:val="24"/>
              </w:rPr>
              <w:t>50.8</w:t>
            </w:r>
          </w:p>
        </w:tc>
        <w:tc>
          <w:tcPr>
            <w:tcW w:w="1203" w:type="dxa"/>
            <w:tcBorders>
              <w:top w:val="single" w:sz="4" w:space="0" w:color="auto"/>
              <w:left w:val="single" w:sz="4" w:space="0" w:color="auto"/>
              <w:bottom w:val="single" w:sz="4" w:space="0" w:color="auto"/>
              <w:right w:val="single" w:sz="4" w:space="0" w:color="auto"/>
            </w:tcBorders>
          </w:tcPr>
          <w:p w14:paraId="70A07615" w14:textId="77777777" w:rsidR="00204E97" w:rsidRPr="00D9232D" w:rsidRDefault="00204E97" w:rsidP="00AA0A6A">
            <w:pPr>
              <w:spacing w:after="160" w:line="360" w:lineRule="auto"/>
              <w:rPr>
                <w:sz w:val="24"/>
                <w:szCs w:val="24"/>
              </w:rPr>
            </w:pPr>
            <w:r w:rsidRPr="00D9232D">
              <w:rPr>
                <w:sz w:val="24"/>
                <w:szCs w:val="24"/>
              </w:rPr>
              <w:t>72.5</w:t>
            </w:r>
          </w:p>
        </w:tc>
        <w:tc>
          <w:tcPr>
            <w:tcW w:w="1220" w:type="dxa"/>
            <w:tcBorders>
              <w:top w:val="single" w:sz="4" w:space="0" w:color="auto"/>
              <w:left w:val="single" w:sz="4" w:space="0" w:color="auto"/>
              <w:bottom w:val="single" w:sz="4" w:space="0" w:color="auto"/>
              <w:right w:val="single" w:sz="4" w:space="0" w:color="auto"/>
            </w:tcBorders>
          </w:tcPr>
          <w:p w14:paraId="56DEFAFD" w14:textId="77777777" w:rsidR="00204E97" w:rsidRPr="00D9232D" w:rsidRDefault="00204E97" w:rsidP="00AA0A6A">
            <w:pPr>
              <w:spacing w:after="160" w:line="360" w:lineRule="auto"/>
              <w:rPr>
                <w:sz w:val="24"/>
                <w:szCs w:val="24"/>
              </w:rPr>
            </w:pPr>
            <w:r w:rsidRPr="00D9232D">
              <w:rPr>
                <w:sz w:val="24"/>
                <w:szCs w:val="24"/>
              </w:rPr>
              <w:t>77.2</w:t>
            </w:r>
          </w:p>
        </w:tc>
        <w:tc>
          <w:tcPr>
            <w:tcW w:w="1174" w:type="dxa"/>
            <w:tcBorders>
              <w:top w:val="single" w:sz="4" w:space="0" w:color="auto"/>
              <w:left w:val="single" w:sz="4" w:space="0" w:color="auto"/>
              <w:bottom w:val="single" w:sz="4" w:space="0" w:color="auto"/>
              <w:right w:val="single" w:sz="4" w:space="0" w:color="auto"/>
            </w:tcBorders>
          </w:tcPr>
          <w:p w14:paraId="434FA363" w14:textId="77777777" w:rsidR="00204E97" w:rsidRPr="00D9232D" w:rsidRDefault="00204E97" w:rsidP="00AA0A6A">
            <w:pPr>
              <w:spacing w:line="360" w:lineRule="auto"/>
              <w:rPr>
                <w:sz w:val="24"/>
                <w:szCs w:val="24"/>
              </w:rPr>
            </w:pPr>
            <w:r w:rsidRPr="00D9232D">
              <w:rPr>
                <w:sz w:val="24"/>
                <w:szCs w:val="24"/>
              </w:rPr>
              <w:t>31.7</w:t>
            </w:r>
          </w:p>
        </w:tc>
      </w:tr>
      <w:tr w:rsidR="00204E97" w:rsidRPr="00D9232D" w14:paraId="4A67D206"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512F28B9"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193A2D42" w14:textId="77777777" w:rsidR="00204E97" w:rsidRPr="00D9232D" w:rsidRDefault="00204E97" w:rsidP="00AA0A6A">
            <w:pPr>
              <w:spacing w:after="160" w:line="360" w:lineRule="auto"/>
              <w:rPr>
                <w:sz w:val="24"/>
                <w:szCs w:val="24"/>
              </w:rPr>
            </w:pPr>
            <w:proofErr w:type="spellStart"/>
            <w:r w:rsidRPr="00D9232D">
              <w:rPr>
                <w:sz w:val="24"/>
                <w:szCs w:val="24"/>
              </w:rPr>
              <w:t>Dominican</w:t>
            </w:r>
            <w:proofErr w:type="spellEnd"/>
            <w:r w:rsidRPr="00D9232D">
              <w:rPr>
                <w:sz w:val="24"/>
                <w:szCs w:val="24"/>
              </w:rPr>
              <w:t xml:space="preserve"> </w:t>
            </w:r>
            <w:proofErr w:type="spellStart"/>
            <w:r w:rsidRPr="00D9232D">
              <w:rPr>
                <w:sz w:val="24"/>
                <w:szCs w:val="24"/>
              </w:rPr>
              <w:t>Republic</w:t>
            </w:r>
            <w:proofErr w:type="spellEnd"/>
          </w:p>
        </w:tc>
        <w:tc>
          <w:tcPr>
            <w:tcW w:w="1001" w:type="dxa"/>
            <w:tcBorders>
              <w:top w:val="single" w:sz="4" w:space="0" w:color="auto"/>
              <w:left w:val="single" w:sz="4" w:space="0" w:color="auto"/>
              <w:bottom w:val="single" w:sz="4" w:space="0" w:color="auto"/>
              <w:right w:val="single" w:sz="4" w:space="0" w:color="auto"/>
            </w:tcBorders>
          </w:tcPr>
          <w:p w14:paraId="67E6ED9A" w14:textId="77777777" w:rsidR="00204E97" w:rsidRPr="00D9232D" w:rsidRDefault="00204E97" w:rsidP="00AA0A6A">
            <w:pPr>
              <w:spacing w:after="160" w:line="360" w:lineRule="auto"/>
              <w:rPr>
                <w:sz w:val="24"/>
                <w:szCs w:val="24"/>
              </w:rPr>
            </w:pPr>
            <w:r w:rsidRPr="00D9232D">
              <w:rPr>
                <w:sz w:val="24"/>
                <w:szCs w:val="24"/>
              </w:rPr>
              <w:t>4,063</w:t>
            </w:r>
          </w:p>
        </w:tc>
        <w:tc>
          <w:tcPr>
            <w:tcW w:w="936" w:type="dxa"/>
            <w:tcBorders>
              <w:top w:val="single" w:sz="4" w:space="0" w:color="auto"/>
              <w:left w:val="single" w:sz="4" w:space="0" w:color="auto"/>
              <w:bottom w:val="single" w:sz="4" w:space="0" w:color="auto"/>
              <w:right w:val="single" w:sz="4" w:space="0" w:color="auto"/>
            </w:tcBorders>
          </w:tcPr>
          <w:p w14:paraId="213628BB" w14:textId="77777777" w:rsidR="00204E97" w:rsidRPr="00D9232D" w:rsidRDefault="00204E97" w:rsidP="00AA0A6A">
            <w:pPr>
              <w:spacing w:after="160" w:line="360" w:lineRule="auto"/>
              <w:rPr>
                <w:sz w:val="24"/>
                <w:szCs w:val="24"/>
              </w:rPr>
            </w:pPr>
            <w:r w:rsidRPr="00D9232D">
              <w:rPr>
                <w:sz w:val="24"/>
                <w:szCs w:val="24"/>
              </w:rPr>
              <w:t>51.8</w:t>
            </w:r>
          </w:p>
        </w:tc>
        <w:tc>
          <w:tcPr>
            <w:tcW w:w="1203" w:type="dxa"/>
            <w:tcBorders>
              <w:top w:val="single" w:sz="4" w:space="0" w:color="auto"/>
              <w:left w:val="single" w:sz="4" w:space="0" w:color="auto"/>
              <w:bottom w:val="single" w:sz="4" w:space="0" w:color="auto"/>
              <w:right w:val="single" w:sz="4" w:space="0" w:color="auto"/>
            </w:tcBorders>
          </w:tcPr>
          <w:p w14:paraId="35C5441C" w14:textId="77777777" w:rsidR="00204E97" w:rsidRPr="00D9232D" w:rsidRDefault="00204E97" w:rsidP="00AA0A6A">
            <w:pPr>
              <w:spacing w:after="160" w:line="360" w:lineRule="auto"/>
              <w:rPr>
                <w:sz w:val="24"/>
                <w:szCs w:val="24"/>
              </w:rPr>
            </w:pPr>
            <w:r w:rsidRPr="00D9232D">
              <w:rPr>
                <w:sz w:val="24"/>
                <w:szCs w:val="24"/>
              </w:rPr>
              <w:t>53.2</w:t>
            </w:r>
          </w:p>
        </w:tc>
        <w:tc>
          <w:tcPr>
            <w:tcW w:w="1220" w:type="dxa"/>
            <w:tcBorders>
              <w:top w:val="single" w:sz="4" w:space="0" w:color="auto"/>
              <w:left w:val="single" w:sz="4" w:space="0" w:color="auto"/>
              <w:bottom w:val="single" w:sz="4" w:space="0" w:color="auto"/>
              <w:right w:val="single" w:sz="4" w:space="0" w:color="auto"/>
            </w:tcBorders>
          </w:tcPr>
          <w:p w14:paraId="6BD2A629" w14:textId="77777777" w:rsidR="00204E97" w:rsidRPr="00D9232D" w:rsidRDefault="00204E97" w:rsidP="00AA0A6A">
            <w:pPr>
              <w:spacing w:after="160" w:line="360" w:lineRule="auto"/>
              <w:rPr>
                <w:sz w:val="24"/>
                <w:szCs w:val="24"/>
              </w:rPr>
            </w:pPr>
            <w:r w:rsidRPr="00D9232D">
              <w:rPr>
                <w:sz w:val="24"/>
                <w:szCs w:val="24"/>
              </w:rPr>
              <w:t>59.2</w:t>
            </w:r>
          </w:p>
        </w:tc>
        <w:tc>
          <w:tcPr>
            <w:tcW w:w="1174" w:type="dxa"/>
            <w:tcBorders>
              <w:top w:val="single" w:sz="4" w:space="0" w:color="auto"/>
              <w:left w:val="single" w:sz="4" w:space="0" w:color="auto"/>
              <w:bottom w:val="single" w:sz="4" w:space="0" w:color="auto"/>
              <w:right w:val="single" w:sz="4" w:space="0" w:color="auto"/>
            </w:tcBorders>
          </w:tcPr>
          <w:p w14:paraId="0B3D5162" w14:textId="77777777" w:rsidR="00204E97" w:rsidRPr="00D9232D" w:rsidRDefault="00204E97" w:rsidP="00AA0A6A">
            <w:pPr>
              <w:spacing w:line="360" w:lineRule="auto"/>
              <w:rPr>
                <w:sz w:val="24"/>
                <w:szCs w:val="24"/>
              </w:rPr>
            </w:pPr>
            <w:r w:rsidRPr="00D9232D">
              <w:rPr>
                <w:sz w:val="24"/>
                <w:szCs w:val="24"/>
              </w:rPr>
              <w:t>14.1</w:t>
            </w:r>
          </w:p>
        </w:tc>
      </w:tr>
      <w:tr w:rsidR="00204E97" w:rsidRPr="00D9232D" w14:paraId="0D48D7C0"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0BF11D94"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C0871BC" w14:textId="77777777" w:rsidR="00204E97" w:rsidRPr="00D9232D" w:rsidRDefault="00204E97" w:rsidP="00AA0A6A">
            <w:pPr>
              <w:spacing w:after="160" w:line="360" w:lineRule="auto"/>
              <w:rPr>
                <w:sz w:val="24"/>
                <w:szCs w:val="24"/>
              </w:rPr>
            </w:pPr>
            <w:proofErr w:type="spellStart"/>
            <w:r w:rsidRPr="00D9232D">
              <w:rPr>
                <w:sz w:val="24"/>
                <w:szCs w:val="24"/>
              </w:rPr>
              <w:t>Mexico</w:t>
            </w:r>
            <w:proofErr w:type="spellEnd"/>
          </w:p>
        </w:tc>
        <w:tc>
          <w:tcPr>
            <w:tcW w:w="1001" w:type="dxa"/>
            <w:tcBorders>
              <w:top w:val="single" w:sz="4" w:space="0" w:color="auto"/>
              <w:left w:val="single" w:sz="4" w:space="0" w:color="auto"/>
              <w:bottom w:val="single" w:sz="4" w:space="0" w:color="auto"/>
              <w:right w:val="single" w:sz="4" w:space="0" w:color="auto"/>
            </w:tcBorders>
          </w:tcPr>
          <w:p w14:paraId="2B001144" w14:textId="77777777" w:rsidR="00204E97" w:rsidRPr="00D9232D" w:rsidRDefault="00204E97" w:rsidP="00AA0A6A">
            <w:pPr>
              <w:spacing w:after="160" w:line="360" w:lineRule="auto"/>
              <w:rPr>
                <w:sz w:val="24"/>
                <w:szCs w:val="24"/>
              </w:rPr>
            </w:pPr>
            <w:r w:rsidRPr="00D9232D">
              <w:rPr>
                <w:sz w:val="24"/>
                <w:szCs w:val="24"/>
              </w:rPr>
              <w:t>5,792</w:t>
            </w:r>
          </w:p>
        </w:tc>
        <w:tc>
          <w:tcPr>
            <w:tcW w:w="936" w:type="dxa"/>
            <w:tcBorders>
              <w:top w:val="single" w:sz="4" w:space="0" w:color="auto"/>
              <w:left w:val="single" w:sz="4" w:space="0" w:color="auto"/>
              <w:bottom w:val="single" w:sz="4" w:space="0" w:color="auto"/>
              <w:right w:val="single" w:sz="4" w:space="0" w:color="auto"/>
            </w:tcBorders>
          </w:tcPr>
          <w:p w14:paraId="3CA31A9F" w14:textId="77777777" w:rsidR="00204E97" w:rsidRPr="00D9232D" w:rsidRDefault="00204E97" w:rsidP="00AA0A6A">
            <w:pPr>
              <w:spacing w:after="160" w:line="360" w:lineRule="auto"/>
              <w:rPr>
                <w:sz w:val="24"/>
                <w:szCs w:val="24"/>
              </w:rPr>
            </w:pPr>
            <w:r w:rsidRPr="00D9232D">
              <w:rPr>
                <w:sz w:val="24"/>
                <w:szCs w:val="24"/>
              </w:rPr>
              <w:t>52.3</w:t>
            </w:r>
          </w:p>
        </w:tc>
        <w:tc>
          <w:tcPr>
            <w:tcW w:w="1203" w:type="dxa"/>
            <w:tcBorders>
              <w:top w:val="single" w:sz="4" w:space="0" w:color="auto"/>
              <w:left w:val="single" w:sz="4" w:space="0" w:color="auto"/>
              <w:bottom w:val="single" w:sz="4" w:space="0" w:color="auto"/>
              <w:right w:val="single" w:sz="4" w:space="0" w:color="auto"/>
            </w:tcBorders>
          </w:tcPr>
          <w:p w14:paraId="58411316" w14:textId="77777777" w:rsidR="00204E97" w:rsidRPr="00D9232D" w:rsidRDefault="00204E97" w:rsidP="00AA0A6A">
            <w:pPr>
              <w:spacing w:after="160" w:line="360" w:lineRule="auto"/>
              <w:rPr>
                <w:sz w:val="24"/>
                <w:szCs w:val="24"/>
              </w:rPr>
            </w:pPr>
            <w:r w:rsidRPr="00D9232D">
              <w:rPr>
                <w:sz w:val="24"/>
                <w:szCs w:val="24"/>
              </w:rPr>
              <w:t>57.3</w:t>
            </w:r>
          </w:p>
        </w:tc>
        <w:tc>
          <w:tcPr>
            <w:tcW w:w="1220" w:type="dxa"/>
            <w:tcBorders>
              <w:top w:val="single" w:sz="4" w:space="0" w:color="auto"/>
              <w:left w:val="single" w:sz="4" w:space="0" w:color="auto"/>
              <w:bottom w:val="single" w:sz="4" w:space="0" w:color="auto"/>
              <w:right w:val="single" w:sz="4" w:space="0" w:color="auto"/>
            </w:tcBorders>
          </w:tcPr>
          <w:p w14:paraId="53861E37" w14:textId="77777777" w:rsidR="00204E97" w:rsidRPr="00D9232D" w:rsidRDefault="00204E97" w:rsidP="00AA0A6A">
            <w:pPr>
              <w:spacing w:after="160" w:line="360" w:lineRule="auto"/>
              <w:rPr>
                <w:sz w:val="24"/>
                <w:szCs w:val="24"/>
              </w:rPr>
            </w:pPr>
            <w:r w:rsidRPr="00D9232D">
              <w:rPr>
                <w:sz w:val="24"/>
                <w:szCs w:val="24"/>
              </w:rPr>
              <w:t>60.7</w:t>
            </w:r>
          </w:p>
        </w:tc>
        <w:tc>
          <w:tcPr>
            <w:tcW w:w="1174" w:type="dxa"/>
            <w:tcBorders>
              <w:top w:val="single" w:sz="4" w:space="0" w:color="auto"/>
              <w:left w:val="single" w:sz="4" w:space="0" w:color="auto"/>
              <w:bottom w:val="single" w:sz="4" w:space="0" w:color="auto"/>
              <w:right w:val="single" w:sz="4" w:space="0" w:color="auto"/>
            </w:tcBorders>
          </w:tcPr>
          <w:p w14:paraId="5B41FB0C" w14:textId="77777777" w:rsidR="00204E97" w:rsidRPr="00D9232D" w:rsidRDefault="00204E97" w:rsidP="00AA0A6A">
            <w:pPr>
              <w:spacing w:line="360" w:lineRule="auto"/>
              <w:rPr>
                <w:sz w:val="24"/>
                <w:szCs w:val="24"/>
              </w:rPr>
            </w:pPr>
            <w:r w:rsidRPr="00D9232D">
              <w:rPr>
                <w:sz w:val="24"/>
                <w:szCs w:val="24"/>
              </w:rPr>
              <w:t>17.4</w:t>
            </w:r>
          </w:p>
        </w:tc>
      </w:tr>
      <w:tr w:rsidR="00204E97" w:rsidRPr="00D9232D" w14:paraId="44CD66A0"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E8992CD"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ED1A933" w14:textId="77777777" w:rsidR="00204E97" w:rsidRPr="00D9232D" w:rsidRDefault="00204E97" w:rsidP="00AA0A6A">
            <w:pPr>
              <w:spacing w:after="160" w:line="360" w:lineRule="auto"/>
              <w:rPr>
                <w:sz w:val="24"/>
                <w:szCs w:val="24"/>
              </w:rPr>
            </w:pPr>
            <w:proofErr w:type="spellStart"/>
            <w:r w:rsidRPr="00D9232D">
              <w:rPr>
                <w:sz w:val="24"/>
                <w:szCs w:val="24"/>
              </w:rPr>
              <w:t>Panama</w:t>
            </w:r>
            <w:proofErr w:type="spellEnd"/>
          </w:p>
        </w:tc>
        <w:tc>
          <w:tcPr>
            <w:tcW w:w="1001" w:type="dxa"/>
            <w:tcBorders>
              <w:top w:val="single" w:sz="4" w:space="0" w:color="auto"/>
              <w:left w:val="single" w:sz="4" w:space="0" w:color="auto"/>
              <w:bottom w:val="single" w:sz="4" w:space="0" w:color="auto"/>
              <w:right w:val="single" w:sz="4" w:space="0" w:color="auto"/>
            </w:tcBorders>
          </w:tcPr>
          <w:p w14:paraId="0C54E47E" w14:textId="77777777" w:rsidR="00204E97" w:rsidRPr="00D9232D" w:rsidRDefault="00204E97" w:rsidP="00AA0A6A">
            <w:pPr>
              <w:spacing w:after="160" w:line="360" w:lineRule="auto"/>
              <w:rPr>
                <w:sz w:val="24"/>
                <w:szCs w:val="24"/>
              </w:rPr>
            </w:pPr>
            <w:r w:rsidRPr="00D9232D">
              <w:rPr>
                <w:sz w:val="24"/>
                <w:szCs w:val="24"/>
              </w:rPr>
              <w:t>4,264</w:t>
            </w:r>
          </w:p>
        </w:tc>
        <w:tc>
          <w:tcPr>
            <w:tcW w:w="936" w:type="dxa"/>
            <w:tcBorders>
              <w:top w:val="single" w:sz="4" w:space="0" w:color="auto"/>
              <w:left w:val="single" w:sz="4" w:space="0" w:color="auto"/>
              <w:bottom w:val="single" w:sz="4" w:space="0" w:color="auto"/>
              <w:right w:val="single" w:sz="4" w:space="0" w:color="auto"/>
            </w:tcBorders>
          </w:tcPr>
          <w:p w14:paraId="2FCE7CE2" w14:textId="77777777" w:rsidR="00204E97" w:rsidRPr="00D9232D" w:rsidRDefault="00204E97" w:rsidP="00AA0A6A">
            <w:pPr>
              <w:spacing w:after="160" w:line="360" w:lineRule="auto"/>
              <w:rPr>
                <w:sz w:val="24"/>
                <w:szCs w:val="24"/>
              </w:rPr>
            </w:pPr>
            <w:r w:rsidRPr="00D9232D">
              <w:rPr>
                <w:sz w:val="24"/>
                <w:szCs w:val="24"/>
              </w:rPr>
              <w:t>49.6</w:t>
            </w:r>
          </w:p>
        </w:tc>
        <w:tc>
          <w:tcPr>
            <w:tcW w:w="1203" w:type="dxa"/>
            <w:tcBorders>
              <w:top w:val="single" w:sz="4" w:space="0" w:color="auto"/>
              <w:left w:val="single" w:sz="4" w:space="0" w:color="auto"/>
              <w:bottom w:val="single" w:sz="4" w:space="0" w:color="auto"/>
              <w:right w:val="single" w:sz="4" w:space="0" w:color="auto"/>
            </w:tcBorders>
          </w:tcPr>
          <w:p w14:paraId="1F99AC0A" w14:textId="77777777" w:rsidR="00204E97" w:rsidRPr="00D9232D" w:rsidRDefault="00204E97" w:rsidP="00AA0A6A">
            <w:pPr>
              <w:spacing w:after="160" w:line="360" w:lineRule="auto"/>
              <w:rPr>
                <w:sz w:val="24"/>
                <w:szCs w:val="24"/>
              </w:rPr>
            </w:pPr>
            <w:r w:rsidRPr="00D9232D">
              <w:rPr>
                <w:sz w:val="24"/>
                <w:szCs w:val="24"/>
              </w:rPr>
              <w:t>48.7</w:t>
            </w:r>
          </w:p>
        </w:tc>
        <w:tc>
          <w:tcPr>
            <w:tcW w:w="1220" w:type="dxa"/>
            <w:tcBorders>
              <w:top w:val="single" w:sz="4" w:space="0" w:color="auto"/>
              <w:left w:val="single" w:sz="4" w:space="0" w:color="auto"/>
              <w:bottom w:val="single" w:sz="4" w:space="0" w:color="auto"/>
              <w:right w:val="single" w:sz="4" w:space="0" w:color="auto"/>
            </w:tcBorders>
          </w:tcPr>
          <w:p w14:paraId="6569CF7A" w14:textId="77777777" w:rsidR="00204E97" w:rsidRPr="00D9232D" w:rsidRDefault="00204E97" w:rsidP="00AA0A6A">
            <w:pPr>
              <w:spacing w:after="160" w:line="360" w:lineRule="auto"/>
              <w:rPr>
                <w:sz w:val="24"/>
                <w:szCs w:val="24"/>
              </w:rPr>
            </w:pPr>
            <w:r w:rsidRPr="00D9232D">
              <w:rPr>
                <w:sz w:val="24"/>
                <w:szCs w:val="24"/>
              </w:rPr>
              <w:t>62.8</w:t>
            </w:r>
          </w:p>
        </w:tc>
        <w:tc>
          <w:tcPr>
            <w:tcW w:w="1174" w:type="dxa"/>
            <w:tcBorders>
              <w:top w:val="single" w:sz="4" w:space="0" w:color="auto"/>
              <w:left w:val="single" w:sz="4" w:space="0" w:color="auto"/>
              <w:bottom w:val="single" w:sz="4" w:space="0" w:color="auto"/>
              <w:right w:val="single" w:sz="4" w:space="0" w:color="auto"/>
            </w:tcBorders>
          </w:tcPr>
          <w:p w14:paraId="27495EFA" w14:textId="77777777" w:rsidR="00204E97" w:rsidRPr="00D9232D" w:rsidRDefault="00204E97" w:rsidP="00AA0A6A">
            <w:pPr>
              <w:spacing w:line="360" w:lineRule="auto"/>
              <w:rPr>
                <w:sz w:val="24"/>
                <w:szCs w:val="24"/>
              </w:rPr>
            </w:pPr>
            <w:r w:rsidRPr="00D9232D">
              <w:rPr>
                <w:sz w:val="24"/>
                <w:szCs w:val="24"/>
              </w:rPr>
              <w:t>11.0</w:t>
            </w:r>
          </w:p>
        </w:tc>
      </w:tr>
      <w:tr w:rsidR="00204E97" w:rsidRPr="00D9232D" w14:paraId="697CC3D8"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16E6DEBF"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1FBF7F7" w14:textId="77777777" w:rsidR="00204E97" w:rsidRPr="00D9232D" w:rsidRDefault="00204E97" w:rsidP="00AA0A6A">
            <w:pPr>
              <w:spacing w:after="160" w:line="360" w:lineRule="auto"/>
              <w:rPr>
                <w:sz w:val="24"/>
                <w:szCs w:val="24"/>
              </w:rPr>
            </w:pPr>
            <w:r w:rsidRPr="00D9232D">
              <w:rPr>
                <w:sz w:val="24"/>
                <w:szCs w:val="24"/>
              </w:rPr>
              <w:t>Uruguay</w:t>
            </w:r>
          </w:p>
        </w:tc>
        <w:tc>
          <w:tcPr>
            <w:tcW w:w="1001" w:type="dxa"/>
            <w:tcBorders>
              <w:top w:val="single" w:sz="4" w:space="0" w:color="auto"/>
              <w:left w:val="single" w:sz="4" w:space="0" w:color="auto"/>
              <w:bottom w:val="single" w:sz="4" w:space="0" w:color="auto"/>
              <w:right w:val="single" w:sz="4" w:space="0" w:color="auto"/>
            </w:tcBorders>
          </w:tcPr>
          <w:p w14:paraId="2A648983" w14:textId="77777777" w:rsidR="00204E97" w:rsidRPr="00D9232D" w:rsidRDefault="00204E97" w:rsidP="00AA0A6A">
            <w:pPr>
              <w:spacing w:after="160" w:line="360" w:lineRule="auto"/>
              <w:rPr>
                <w:sz w:val="24"/>
                <w:szCs w:val="24"/>
              </w:rPr>
            </w:pPr>
            <w:r w:rsidRPr="00D9232D">
              <w:rPr>
                <w:sz w:val="24"/>
                <w:szCs w:val="24"/>
              </w:rPr>
              <w:t>3,328</w:t>
            </w:r>
          </w:p>
        </w:tc>
        <w:tc>
          <w:tcPr>
            <w:tcW w:w="936" w:type="dxa"/>
            <w:tcBorders>
              <w:top w:val="single" w:sz="4" w:space="0" w:color="auto"/>
              <w:left w:val="single" w:sz="4" w:space="0" w:color="auto"/>
              <w:bottom w:val="single" w:sz="4" w:space="0" w:color="auto"/>
              <w:right w:val="single" w:sz="4" w:space="0" w:color="auto"/>
            </w:tcBorders>
          </w:tcPr>
          <w:p w14:paraId="6DFC24B4" w14:textId="77777777" w:rsidR="00204E97" w:rsidRPr="00D9232D" w:rsidRDefault="00204E97" w:rsidP="00AA0A6A">
            <w:pPr>
              <w:spacing w:after="160" w:line="360" w:lineRule="auto"/>
              <w:rPr>
                <w:sz w:val="24"/>
                <w:szCs w:val="24"/>
              </w:rPr>
            </w:pPr>
            <w:r w:rsidRPr="00D9232D">
              <w:rPr>
                <w:sz w:val="24"/>
                <w:szCs w:val="24"/>
              </w:rPr>
              <w:t>53.8</w:t>
            </w:r>
          </w:p>
        </w:tc>
        <w:tc>
          <w:tcPr>
            <w:tcW w:w="1203" w:type="dxa"/>
            <w:tcBorders>
              <w:top w:val="single" w:sz="4" w:space="0" w:color="auto"/>
              <w:left w:val="single" w:sz="4" w:space="0" w:color="auto"/>
              <w:bottom w:val="single" w:sz="4" w:space="0" w:color="auto"/>
              <w:right w:val="single" w:sz="4" w:space="0" w:color="auto"/>
            </w:tcBorders>
          </w:tcPr>
          <w:p w14:paraId="7D18FD7B" w14:textId="77777777" w:rsidR="00204E97" w:rsidRPr="00D9232D" w:rsidRDefault="00204E97" w:rsidP="00AA0A6A">
            <w:pPr>
              <w:spacing w:after="160" w:line="360" w:lineRule="auto"/>
              <w:rPr>
                <w:sz w:val="24"/>
                <w:szCs w:val="24"/>
              </w:rPr>
            </w:pPr>
            <w:r w:rsidRPr="00D9232D">
              <w:rPr>
                <w:sz w:val="24"/>
                <w:szCs w:val="24"/>
              </w:rPr>
              <w:t>76.6</w:t>
            </w:r>
          </w:p>
        </w:tc>
        <w:tc>
          <w:tcPr>
            <w:tcW w:w="1220" w:type="dxa"/>
            <w:tcBorders>
              <w:top w:val="single" w:sz="4" w:space="0" w:color="auto"/>
              <w:left w:val="single" w:sz="4" w:space="0" w:color="auto"/>
              <w:bottom w:val="single" w:sz="4" w:space="0" w:color="auto"/>
              <w:right w:val="single" w:sz="4" w:space="0" w:color="auto"/>
            </w:tcBorders>
          </w:tcPr>
          <w:p w14:paraId="42C14DB2" w14:textId="77777777" w:rsidR="00204E97" w:rsidRPr="00D9232D" w:rsidRDefault="00204E97" w:rsidP="00AA0A6A">
            <w:pPr>
              <w:spacing w:after="160" w:line="360" w:lineRule="auto"/>
              <w:rPr>
                <w:sz w:val="24"/>
                <w:szCs w:val="24"/>
              </w:rPr>
            </w:pPr>
            <w:r w:rsidRPr="00D9232D">
              <w:rPr>
                <w:sz w:val="24"/>
                <w:szCs w:val="24"/>
              </w:rPr>
              <w:t>78.0</w:t>
            </w:r>
          </w:p>
        </w:tc>
        <w:tc>
          <w:tcPr>
            <w:tcW w:w="1174" w:type="dxa"/>
            <w:tcBorders>
              <w:top w:val="single" w:sz="4" w:space="0" w:color="auto"/>
              <w:left w:val="single" w:sz="4" w:space="0" w:color="auto"/>
              <w:bottom w:val="single" w:sz="4" w:space="0" w:color="auto"/>
              <w:right w:val="single" w:sz="4" w:space="0" w:color="auto"/>
            </w:tcBorders>
          </w:tcPr>
          <w:p w14:paraId="0CCE82CE" w14:textId="77777777" w:rsidR="00204E97" w:rsidRPr="00D9232D" w:rsidRDefault="00204E97" w:rsidP="00AA0A6A">
            <w:pPr>
              <w:spacing w:line="360" w:lineRule="auto"/>
              <w:rPr>
                <w:sz w:val="24"/>
                <w:szCs w:val="24"/>
              </w:rPr>
            </w:pPr>
            <w:r w:rsidRPr="00D9232D">
              <w:rPr>
                <w:sz w:val="24"/>
                <w:szCs w:val="24"/>
              </w:rPr>
              <w:t>32.7</w:t>
            </w:r>
          </w:p>
        </w:tc>
      </w:tr>
      <w:tr w:rsidR="00204E97" w:rsidRPr="00D9232D" w14:paraId="08B953A9"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2721958" w14:textId="77777777" w:rsidR="00204E97" w:rsidRPr="00D9232D" w:rsidRDefault="00204E97" w:rsidP="00AA0A6A">
            <w:pPr>
              <w:spacing w:after="160" w:line="360" w:lineRule="auto"/>
              <w:rPr>
                <w:sz w:val="24"/>
                <w:szCs w:val="24"/>
              </w:rPr>
            </w:pPr>
            <w:r w:rsidRPr="00D9232D">
              <w:rPr>
                <w:sz w:val="24"/>
                <w:szCs w:val="24"/>
              </w:rPr>
              <w:t xml:space="preserve">Eastern </w:t>
            </w:r>
            <w:proofErr w:type="spellStart"/>
            <w:r w:rsidRPr="00D9232D">
              <w:rPr>
                <w:sz w:val="24"/>
                <w:szCs w:val="24"/>
              </w:rPr>
              <w:t>Mediterranean</w:t>
            </w:r>
            <w:proofErr w:type="spellEnd"/>
          </w:p>
        </w:tc>
        <w:tc>
          <w:tcPr>
            <w:tcW w:w="1426" w:type="dxa"/>
            <w:tcBorders>
              <w:top w:val="single" w:sz="4" w:space="0" w:color="auto"/>
              <w:left w:val="single" w:sz="4" w:space="0" w:color="auto"/>
              <w:bottom w:val="single" w:sz="4" w:space="0" w:color="auto"/>
              <w:right w:val="single" w:sz="4" w:space="0" w:color="auto"/>
            </w:tcBorders>
          </w:tcPr>
          <w:p w14:paraId="1E434A0B" w14:textId="77777777" w:rsidR="00204E97" w:rsidRPr="00D9232D" w:rsidRDefault="00204E97" w:rsidP="00AA0A6A">
            <w:pPr>
              <w:spacing w:after="160" w:line="360" w:lineRule="auto"/>
              <w:rPr>
                <w:sz w:val="24"/>
                <w:szCs w:val="24"/>
              </w:rPr>
            </w:pPr>
            <w:r w:rsidRPr="00D9232D">
              <w:rPr>
                <w:sz w:val="24"/>
                <w:szCs w:val="24"/>
              </w:rPr>
              <w:t>Albania</w:t>
            </w:r>
          </w:p>
        </w:tc>
        <w:tc>
          <w:tcPr>
            <w:tcW w:w="1001" w:type="dxa"/>
            <w:tcBorders>
              <w:top w:val="single" w:sz="4" w:space="0" w:color="auto"/>
              <w:left w:val="single" w:sz="4" w:space="0" w:color="auto"/>
              <w:bottom w:val="single" w:sz="4" w:space="0" w:color="auto"/>
              <w:right w:val="single" w:sz="4" w:space="0" w:color="auto"/>
            </w:tcBorders>
          </w:tcPr>
          <w:p w14:paraId="167C5241" w14:textId="77777777" w:rsidR="00204E97" w:rsidRPr="00D9232D" w:rsidRDefault="00204E97" w:rsidP="00AA0A6A">
            <w:pPr>
              <w:spacing w:after="160" w:line="360" w:lineRule="auto"/>
              <w:rPr>
                <w:sz w:val="24"/>
                <w:szCs w:val="24"/>
              </w:rPr>
            </w:pPr>
            <w:r w:rsidRPr="00D9232D">
              <w:rPr>
                <w:sz w:val="24"/>
                <w:szCs w:val="24"/>
              </w:rPr>
              <w:t>5,295</w:t>
            </w:r>
          </w:p>
        </w:tc>
        <w:tc>
          <w:tcPr>
            <w:tcW w:w="936" w:type="dxa"/>
            <w:tcBorders>
              <w:top w:val="single" w:sz="4" w:space="0" w:color="auto"/>
              <w:left w:val="single" w:sz="4" w:space="0" w:color="auto"/>
              <w:bottom w:val="single" w:sz="4" w:space="0" w:color="auto"/>
              <w:right w:val="single" w:sz="4" w:space="0" w:color="auto"/>
            </w:tcBorders>
          </w:tcPr>
          <w:p w14:paraId="3A6C3B51" w14:textId="77777777" w:rsidR="00204E97" w:rsidRPr="00D9232D" w:rsidRDefault="00204E97" w:rsidP="00AA0A6A">
            <w:pPr>
              <w:spacing w:after="160" w:line="360" w:lineRule="auto"/>
              <w:rPr>
                <w:sz w:val="24"/>
                <w:szCs w:val="24"/>
              </w:rPr>
            </w:pPr>
            <w:r w:rsidRPr="00D9232D">
              <w:rPr>
                <w:sz w:val="24"/>
                <w:szCs w:val="24"/>
              </w:rPr>
              <w:t>50.4</w:t>
            </w:r>
          </w:p>
        </w:tc>
        <w:tc>
          <w:tcPr>
            <w:tcW w:w="1203" w:type="dxa"/>
            <w:tcBorders>
              <w:top w:val="single" w:sz="4" w:space="0" w:color="auto"/>
              <w:left w:val="single" w:sz="4" w:space="0" w:color="auto"/>
              <w:bottom w:val="single" w:sz="4" w:space="0" w:color="auto"/>
              <w:right w:val="single" w:sz="4" w:space="0" w:color="auto"/>
            </w:tcBorders>
          </w:tcPr>
          <w:p w14:paraId="652C52A3" w14:textId="77777777" w:rsidR="00204E97" w:rsidRPr="00D9232D" w:rsidRDefault="00204E97" w:rsidP="00AA0A6A">
            <w:pPr>
              <w:spacing w:after="160" w:line="360" w:lineRule="auto"/>
              <w:rPr>
                <w:sz w:val="24"/>
                <w:szCs w:val="24"/>
              </w:rPr>
            </w:pPr>
            <w:r w:rsidRPr="00D9232D">
              <w:rPr>
                <w:sz w:val="24"/>
                <w:szCs w:val="24"/>
              </w:rPr>
              <w:t>47.4</w:t>
            </w:r>
          </w:p>
        </w:tc>
        <w:tc>
          <w:tcPr>
            <w:tcW w:w="1220" w:type="dxa"/>
            <w:tcBorders>
              <w:top w:val="single" w:sz="4" w:space="0" w:color="auto"/>
              <w:left w:val="single" w:sz="4" w:space="0" w:color="auto"/>
              <w:bottom w:val="single" w:sz="4" w:space="0" w:color="auto"/>
              <w:right w:val="single" w:sz="4" w:space="0" w:color="auto"/>
            </w:tcBorders>
          </w:tcPr>
          <w:p w14:paraId="706B2A9A" w14:textId="77777777" w:rsidR="00204E97" w:rsidRPr="00D9232D" w:rsidRDefault="00204E97" w:rsidP="00AA0A6A">
            <w:pPr>
              <w:spacing w:after="160" w:line="360" w:lineRule="auto"/>
              <w:rPr>
                <w:sz w:val="24"/>
                <w:szCs w:val="24"/>
              </w:rPr>
            </w:pPr>
            <w:r w:rsidRPr="00D9232D">
              <w:rPr>
                <w:sz w:val="24"/>
                <w:szCs w:val="24"/>
              </w:rPr>
              <w:t>59.6</w:t>
            </w:r>
          </w:p>
        </w:tc>
        <w:tc>
          <w:tcPr>
            <w:tcW w:w="1174" w:type="dxa"/>
            <w:tcBorders>
              <w:top w:val="single" w:sz="4" w:space="0" w:color="auto"/>
              <w:left w:val="single" w:sz="4" w:space="0" w:color="auto"/>
              <w:bottom w:val="single" w:sz="4" w:space="0" w:color="auto"/>
              <w:right w:val="single" w:sz="4" w:space="0" w:color="auto"/>
            </w:tcBorders>
          </w:tcPr>
          <w:p w14:paraId="5A4E4BA8" w14:textId="77777777" w:rsidR="00204E97" w:rsidRPr="00D9232D" w:rsidRDefault="00204E97" w:rsidP="00AA0A6A">
            <w:pPr>
              <w:spacing w:line="360" w:lineRule="auto"/>
              <w:rPr>
                <w:sz w:val="24"/>
                <w:szCs w:val="24"/>
              </w:rPr>
            </w:pPr>
            <w:r w:rsidRPr="00D9232D">
              <w:rPr>
                <w:sz w:val="24"/>
                <w:szCs w:val="24"/>
              </w:rPr>
              <w:t>10.1</w:t>
            </w:r>
          </w:p>
        </w:tc>
      </w:tr>
      <w:tr w:rsidR="00204E97" w:rsidRPr="00D9232D" w14:paraId="0BD00879"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48CB35E3"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6DF27D9" w14:textId="77777777" w:rsidR="00204E97" w:rsidRPr="00D9232D" w:rsidRDefault="00204E97" w:rsidP="00AA0A6A">
            <w:pPr>
              <w:spacing w:after="160" w:line="360" w:lineRule="auto"/>
              <w:rPr>
                <w:sz w:val="24"/>
                <w:szCs w:val="24"/>
              </w:rPr>
            </w:pPr>
            <w:proofErr w:type="spellStart"/>
            <w:r w:rsidRPr="00D9232D">
              <w:rPr>
                <w:sz w:val="24"/>
                <w:szCs w:val="24"/>
              </w:rPr>
              <w:t>Croatia</w:t>
            </w:r>
            <w:proofErr w:type="spellEnd"/>
          </w:p>
        </w:tc>
        <w:tc>
          <w:tcPr>
            <w:tcW w:w="1001" w:type="dxa"/>
            <w:tcBorders>
              <w:top w:val="single" w:sz="4" w:space="0" w:color="auto"/>
              <w:left w:val="single" w:sz="4" w:space="0" w:color="auto"/>
              <w:bottom w:val="single" w:sz="4" w:space="0" w:color="auto"/>
              <w:right w:val="single" w:sz="4" w:space="0" w:color="auto"/>
            </w:tcBorders>
          </w:tcPr>
          <w:p w14:paraId="2A087644" w14:textId="77777777" w:rsidR="00204E97" w:rsidRPr="00D9232D" w:rsidRDefault="00204E97" w:rsidP="00AA0A6A">
            <w:pPr>
              <w:spacing w:after="160" w:line="360" w:lineRule="auto"/>
              <w:rPr>
                <w:sz w:val="24"/>
                <w:szCs w:val="24"/>
              </w:rPr>
            </w:pPr>
            <w:r w:rsidRPr="00D9232D">
              <w:rPr>
                <w:sz w:val="24"/>
                <w:szCs w:val="24"/>
              </w:rPr>
              <w:t>5,879</w:t>
            </w:r>
          </w:p>
        </w:tc>
        <w:tc>
          <w:tcPr>
            <w:tcW w:w="936" w:type="dxa"/>
            <w:tcBorders>
              <w:top w:val="single" w:sz="4" w:space="0" w:color="auto"/>
              <w:left w:val="single" w:sz="4" w:space="0" w:color="auto"/>
              <w:bottom w:val="single" w:sz="4" w:space="0" w:color="auto"/>
              <w:right w:val="single" w:sz="4" w:space="0" w:color="auto"/>
            </w:tcBorders>
          </w:tcPr>
          <w:p w14:paraId="21ADDEA7" w14:textId="77777777" w:rsidR="00204E97" w:rsidRPr="00D9232D" w:rsidRDefault="00204E97" w:rsidP="00AA0A6A">
            <w:pPr>
              <w:spacing w:after="160" w:line="360" w:lineRule="auto"/>
              <w:rPr>
                <w:sz w:val="24"/>
                <w:szCs w:val="24"/>
              </w:rPr>
            </w:pPr>
            <w:r w:rsidRPr="00D9232D">
              <w:rPr>
                <w:sz w:val="24"/>
                <w:szCs w:val="24"/>
              </w:rPr>
              <w:t>51.6</w:t>
            </w:r>
          </w:p>
        </w:tc>
        <w:tc>
          <w:tcPr>
            <w:tcW w:w="1203" w:type="dxa"/>
            <w:tcBorders>
              <w:top w:val="single" w:sz="4" w:space="0" w:color="auto"/>
              <w:left w:val="single" w:sz="4" w:space="0" w:color="auto"/>
              <w:bottom w:val="single" w:sz="4" w:space="0" w:color="auto"/>
              <w:right w:val="single" w:sz="4" w:space="0" w:color="auto"/>
            </w:tcBorders>
          </w:tcPr>
          <w:p w14:paraId="26437F3E" w14:textId="77777777" w:rsidR="00204E97" w:rsidRPr="00D9232D" w:rsidRDefault="00204E97" w:rsidP="00AA0A6A">
            <w:pPr>
              <w:spacing w:after="160" w:line="360" w:lineRule="auto"/>
              <w:rPr>
                <w:sz w:val="24"/>
                <w:szCs w:val="24"/>
              </w:rPr>
            </w:pPr>
            <w:r w:rsidRPr="00D9232D">
              <w:rPr>
                <w:sz w:val="24"/>
                <w:szCs w:val="24"/>
              </w:rPr>
              <w:t>69.7</w:t>
            </w:r>
          </w:p>
        </w:tc>
        <w:tc>
          <w:tcPr>
            <w:tcW w:w="1220" w:type="dxa"/>
            <w:tcBorders>
              <w:top w:val="single" w:sz="4" w:space="0" w:color="auto"/>
              <w:left w:val="single" w:sz="4" w:space="0" w:color="auto"/>
              <w:bottom w:val="single" w:sz="4" w:space="0" w:color="auto"/>
              <w:right w:val="single" w:sz="4" w:space="0" w:color="auto"/>
            </w:tcBorders>
          </w:tcPr>
          <w:p w14:paraId="06752772" w14:textId="77777777" w:rsidR="00204E97" w:rsidRPr="00D9232D" w:rsidRDefault="00204E97" w:rsidP="00AA0A6A">
            <w:pPr>
              <w:spacing w:after="160" w:line="360" w:lineRule="auto"/>
              <w:rPr>
                <w:sz w:val="24"/>
                <w:szCs w:val="24"/>
              </w:rPr>
            </w:pPr>
            <w:r w:rsidRPr="00D9232D">
              <w:rPr>
                <w:sz w:val="24"/>
                <w:szCs w:val="24"/>
              </w:rPr>
              <w:t>82.1</w:t>
            </w:r>
          </w:p>
        </w:tc>
        <w:tc>
          <w:tcPr>
            <w:tcW w:w="1174" w:type="dxa"/>
            <w:tcBorders>
              <w:top w:val="single" w:sz="4" w:space="0" w:color="auto"/>
              <w:left w:val="single" w:sz="4" w:space="0" w:color="auto"/>
              <w:bottom w:val="single" w:sz="4" w:space="0" w:color="auto"/>
              <w:right w:val="single" w:sz="4" w:space="0" w:color="auto"/>
            </w:tcBorders>
          </w:tcPr>
          <w:p w14:paraId="5777038C" w14:textId="77777777" w:rsidR="00204E97" w:rsidRPr="00D9232D" w:rsidRDefault="00204E97" w:rsidP="00AA0A6A">
            <w:pPr>
              <w:spacing w:line="360" w:lineRule="auto"/>
              <w:rPr>
                <w:sz w:val="24"/>
                <w:szCs w:val="24"/>
              </w:rPr>
            </w:pPr>
            <w:r w:rsidRPr="00D9232D">
              <w:rPr>
                <w:sz w:val="24"/>
                <w:szCs w:val="24"/>
              </w:rPr>
              <w:t>22.9</w:t>
            </w:r>
          </w:p>
        </w:tc>
      </w:tr>
      <w:tr w:rsidR="00204E97" w:rsidRPr="00D9232D" w14:paraId="50CD8E4C"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46E1D20A"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6043996E" w14:textId="77777777" w:rsidR="00204E97" w:rsidRPr="00D9232D" w:rsidRDefault="00204E97" w:rsidP="00AA0A6A">
            <w:pPr>
              <w:spacing w:after="160" w:line="360" w:lineRule="auto"/>
              <w:rPr>
                <w:sz w:val="24"/>
                <w:szCs w:val="24"/>
              </w:rPr>
            </w:pPr>
            <w:r w:rsidRPr="00D9232D">
              <w:rPr>
                <w:sz w:val="24"/>
                <w:szCs w:val="24"/>
              </w:rPr>
              <w:t>Malta</w:t>
            </w:r>
          </w:p>
        </w:tc>
        <w:tc>
          <w:tcPr>
            <w:tcW w:w="1001" w:type="dxa"/>
            <w:tcBorders>
              <w:top w:val="single" w:sz="4" w:space="0" w:color="auto"/>
              <w:left w:val="single" w:sz="4" w:space="0" w:color="auto"/>
              <w:bottom w:val="single" w:sz="4" w:space="0" w:color="auto"/>
              <w:right w:val="single" w:sz="4" w:space="0" w:color="auto"/>
            </w:tcBorders>
          </w:tcPr>
          <w:p w14:paraId="1C61FBF6" w14:textId="77777777" w:rsidR="00204E97" w:rsidRPr="00D9232D" w:rsidRDefault="00204E97" w:rsidP="00AA0A6A">
            <w:pPr>
              <w:spacing w:after="160" w:line="360" w:lineRule="auto"/>
              <w:rPr>
                <w:sz w:val="24"/>
                <w:szCs w:val="24"/>
              </w:rPr>
            </w:pPr>
            <w:r w:rsidRPr="00D9232D">
              <w:rPr>
                <w:sz w:val="24"/>
                <w:szCs w:val="24"/>
              </w:rPr>
              <w:t>2,764</w:t>
            </w:r>
          </w:p>
        </w:tc>
        <w:tc>
          <w:tcPr>
            <w:tcW w:w="936" w:type="dxa"/>
            <w:tcBorders>
              <w:top w:val="single" w:sz="4" w:space="0" w:color="auto"/>
              <w:left w:val="single" w:sz="4" w:space="0" w:color="auto"/>
              <w:bottom w:val="single" w:sz="4" w:space="0" w:color="auto"/>
              <w:right w:val="single" w:sz="4" w:space="0" w:color="auto"/>
            </w:tcBorders>
          </w:tcPr>
          <w:p w14:paraId="760BCE87" w14:textId="77777777" w:rsidR="00204E97" w:rsidRPr="00D9232D" w:rsidRDefault="00204E97" w:rsidP="00AA0A6A">
            <w:pPr>
              <w:spacing w:after="160" w:line="360" w:lineRule="auto"/>
              <w:rPr>
                <w:sz w:val="24"/>
                <w:szCs w:val="24"/>
              </w:rPr>
            </w:pPr>
            <w:r w:rsidRPr="00D9232D">
              <w:rPr>
                <w:sz w:val="24"/>
                <w:szCs w:val="24"/>
              </w:rPr>
              <w:t>52.5</w:t>
            </w:r>
          </w:p>
        </w:tc>
        <w:tc>
          <w:tcPr>
            <w:tcW w:w="1203" w:type="dxa"/>
            <w:tcBorders>
              <w:top w:val="single" w:sz="4" w:space="0" w:color="auto"/>
              <w:left w:val="single" w:sz="4" w:space="0" w:color="auto"/>
              <w:bottom w:val="single" w:sz="4" w:space="0" w:color="auto"/>
              <w:right w:val="single" w:sz="4" w:space="0" w:color="auto"/>
            </w:tcBorders>
          </w:tcPr>
          <w:p w14:paraId="3DFEF9CB" w14:textId="77777777" w:rsidR="00204E97" w:rsidRPr="00D9232D" w:rsidRDefault="00204E97" w:rsidP="00AA0A6A">
            <w:pPr>
              <w:spacing w:after="160" w:line="360" w:lineRule="auto"/>
              <w:rPr>
                <w:sz w:val="24"/>
                <w:szCs w:val="24"/>
              </w:rPr>
            </w:pPr>
            <w:r w:rsidRPr="00D9232D">
              <w:rPr>
                <w:sz w:val="24"/>
                <w:szCs w:val="24"/>
              </w:rPr>
              <w:t>76.8</w:t>
            </w:r>
          </w:p>
        </w:tc>
        <w:tc>
          <w:tcPr>
            <w:tcW w:w="1220" w:type="dxa"/>
            <w:tcBorders>
              <w:top w:val="single" w:sz="4" w:space="0" w:color="auto"/>
              <w:left w:val="single" w:sz="4" w:space="0" w:color="auto"/>
              <w:bottom w:val="single" w:sz="4" w:space="0" w:color="auto"/>
              <w:right w:val="single" w:sz="4" w:space="0" w:color="auto"/>
            </w:tcBorders>
          </w:tcPr>
          <w:p w14:paraId="79C1B82F" w14:textId="77777777" w:rsidR="00204E97" w:rsidRPr="00D9232D" w:rsidRDefault="00204E97" w:rsidP="00AA0A6A">
            <w:pPr>
              <w:spacing w:after="160" w:line="360" w:lineRule="auto"/>
              <w:rPr>
                <w:sz w:val="24"/>
                <w:szCs w:val="24"/>
              </w:rPr>
            </w:pPr>
            <w:r w:rsidRPr="00D9232D">
              <w:rPr>
                <w:sz w:val="24"/>
                <w:szCs w:val="24"/>
              </w:rPr>
              <w:t>83.0</w:t>
            </w:r>
          </w:p>
        </w:tc>
        <w:tc>
          <w:tcPr>
            <w:tcW w:w="1174" w:type="dxa"/>
            <w:tcBorders>
              <w:top w:val="single" w:sz="4" w:space="0" w:color="auto"/>
              <w:left w:val="single" w:sz="4" w:space="0" w:color="auto"/>
              <w:bottom w:val="single" w:sz="4" w:space="0" w:color="auto"/>
              <w:right w:val="single" w:sz="4" w:space="0" w:color="auto"/>
            </w:tcBorders>
          </w:tcPr>
          <w:p w14:paraId="17C3E24E" w14:textId="77777777" w:rsidR="00204E97" w:rsidRPr="00D9232D" w:rsidRDefault="00204E97" w:rsidP="00AA0A6A">
            <w:pPr>
              <w:spacing w:line="360" w:lineRule="auto"/>
              <w:rPr>
                <w:sz w:val="24"/>
                <w:szCs w:val="24"/>
              </w:rPr>
            </w:pPr>
            <w:r w:rsidRPr="00D9232D">
              <w:rPr>
                <w:sz w:val="24"/>
                <w:szCs w:val="24"/>
              </w:rPr>
              <w:t>10.9</w:t>
            </w:r>
          </w:p>
        </w:tc>
      </w:tr>
      <w:tr w:rsidR="00204E97" w:rsidRPr="00D9232D" w14:paraId="46FA22BE"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8D8C9C8"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2FC1E522" w14:textId="77777777" w:rsidR="00204E97" w:rsidRPr="00D9232D" w:rsidRDefault="00204E97" w:rsidP="00AA0A6A">
            <w:pPr>
              <w:spacing w:after="160" w:line="360" w:lineRule="auto"/>
              <w:rPr>
                <w:sz w:val="24"/>
                <w:szCs w:val="24"/>
              </w:rPr>
            </w:pPr>
            <w:r w:rsidRPr="00D9232D">
              <w:rPr>
                <w:sz w:val="24"/>
                <w:szCs w:val="24"/>
              </w:rPr>
              <w:t>Serbia</w:t>
            </w:r>
          </w:p>
        </w:tc>
        <w:tc>
          <w:tcPr>
            <w:tcW w:w="1001" w:type="dxa"/>
            <w:tcBorders>
              <w:top w:val="single" w:sz="4" w:space="0" w:color="auto"/>
              <w:left w:val="single" w:sz="4" w:space="0" w:color="auto"/>
              <w:bottom w:val="single" w:sz="4" w:space="0" w:color="auto"/>
              <w:right w:val="single" w:sz="4" w:space="0" w:color="auto"/>
            </w:tcBorders>
          </w:tcPr>
          <w:p w14:paraId="3C801D59" w14:textId="77777777" w:rsidR="00204E97" w:rsidRPr="00D9232D" w:rsidRDefault="00204E97" w:rsidP="00AA0A6A">
            <w:pPr>
              <w:spacing w:after="160" w:line="360" w:lineRule="auto"/>
              <w:rPr>
                <w:sz w:val="24"/>
                <w:szCs w:val="24"/>
              </w:rPr>
            </w:pPr>
            <w:r w:rsidRPr="00D9232D">
              <w:rPr>
                <w:sz w:val="24"/>
                <w:szCs w:val="24"/>
              </w:rPr>
              <w:t>4,909</w:t>
            </w:r>
          </w:p>
        </w:tc>
        <w:tc>
          <w:tcPr>
            <w:tcW w:w="936" w:type="dxa"/>
            <w:tcBorders>
              <w:top w:val="single" w:sz="4" w:space="0" w:color="auto"/>
              <w:left w:val="single" w:sz="4" w:space="0" w:color="auto"/>
              <w:bottom w:val="single" w:sz="4" w:space="0" w:color="auto"/>
              <w:right w:val="single" w:sz="4" w:space="0" w:color="auto"/>
            </w:tcBorders>
          </w:tcPr>
          <w:p w14:paraId="19F2AA90" w14:textId="77777777" w:rsidR="00204E97" w:rsidRPr="00D9232D" w:rsidRDefault="00204E97" w:rsidP="00AA0A6A">
            <w:pPr>
              <w:spacing w:after="160" w:line="360" w:lineRule="auto"/>
              <w:rPr>
                <w:sz w:val="24"/>
                <w:szCs w:val="24"/>
              </w:rPr>
            </w:pPr>
            <w:r w:rsidRPr="00D9232D">
              <w:rPr>
                <w:sz w:val="24"/>
                <w:szCs w:val="24"/>
              </w:rPr>
              <w:t>51.6</w:t>
            </w:r>
          </w:p>
        </w:tc>
        <w:tc>
          <w:tcPr>
            <w:tcW w:w="1203" w:type="dxa"/>
            <w:tcBorders>
              <w:top w:val="single" w:sz="4" w:space="0" w:color="auto"/>
              <w:left w:val="single" w:sz="4" w:space="0" w:color="auto"/>
              <w:bottom w:val="single" w:sz="4" w:space="0" w:color="auto"/>
              <w:right w:val="single" w:sz="4" w:space="0" w:color="auto"/>
            </w:tcBorders>
          </w:tcPr>
          <w:p w14:paraId="0D8617E1" w14:textId="77777777" w:rsidR="00204E97" w:rsidRPr="00D9232D" w:rsidRDefault="00204E97" w:rsidP="00AA0A6A">
            <w:pPr>
              <w:spacing w:after="160" w:line="360" w:lineRule="auto"/>
              <w:rPr>
                <w:sz w:val="24"/>
                <w:szCs w:val="24"/>
              </w:rPr>
            </w:pPr>
            <w:r w:rsidRPr="00D9232D">
              <w:rPr>
                <w:sz w:val="24"/>
                <w:szCs w:val="24"/>
              </w:rPr>
              <w:t>74.4</w:t>
            </w:r>
          </w:p>
        </w:tc>
        <w:tc>
          <w:tcPr>
            <w:tcW w:w="1220" w:type="dxa"/>
            <w:tcBorders>
              <w:top w:val="single" w:sz="4" w:space="0" w:color="auto"/>
              <w:left w:val="single" w:sz="4" w:space="0" w:color="auto"/>
              <w:bottom w:val="single" w:sz="4" w:space="0" w:color="auto"/>
              <w:right w:val="single" w:sz="4" w:space="0" w:color="auto"/>
            </w:tcBorders>
          </w:tcPr>
          <w:p w14:paraId="6C4EC3BD" w14:textId="77777777" w:rsidR="00204E97" w:rsidRPr="00D9232D" w:rsidRDefault="00204E97" w:rsidP="00AA0A6A">
            <w:pPr>
              <w:spacing w:after="160" w:line="360" w:lineRule="auto"/>
              <w:rPr>
                <w:sz w:val="24"/>
                <w:szCs w:val="24"/>
              </w:rPr>
            </w:pPr>
            <w:r w:rsidRPr="00D9232D">
              <w:rPr>
                <w:sz w:val="24"/>
                <w:szCs w:val="24"/>
              </w:rPr>
              <w:t>79.2</w:t>
            </w:r>
          </w:p>
        </w:tc>
        <w:tc>
          <w:tcPr>
            <w:tcW w:w="1174" w:type="dxa"/>
            <w:tcBorders>
              <w:top w:val="single" w:sz="4" w:space="0" w:color="auto"/>
              <w:left w:val="single" w:sz="4" w:space="0" w:color="auto"/>
              <w:bottom w:val="single" w:sz="4" w:space="0" w:color="auto"/>
              <w:right w:val="single" w:sz="4" w:space="0" w:color="auto"/>
            </w:tcBorders>
          </w:tcPr>
          <w:p w14:paraId="24B821EC" w14:textId="77777777" w:rsidR="00204E97" w:rsidRPr="00D9232D" w:rsidRDefault="00204E97" w:rsidP="00AA0A6A">
            <w:pPr>
              <w:spacing w:line="360" w:lineRule="auto"/>
              <w:rPr>
                <w:sz w:val="24"/>
                <w:szCs w:val="24"/>
              </w:rPr>
            </w:pPr>
            <w:r w:rsidRPr="00D9232D">
              <w:rPr>
                <w:sz w:val="24"/>
                <w:szCs w:val="24"/>
              </w:rPr>
              <w:t>23.4</w:t>
            </w:r>
          </w:p>
        </w:tc>
      </w:tr>
      <w:tr w:rsidR="00204E97" w:rsidRPr="00D9232D" w14:paraId="1B7F3925"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05139BDC"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5C4EE950" w14:textId="77777777" w:rsidR="00204E97" w:rsidRPr="00D9232D" w:rsidRDefault="00204E97" w:rsidP="00AA0A6A">
            <w:pPr>
              <w:spacing w:after="160" w:line="360" w:lineRule="auto"/>
              <w:rPr>
                <w:sz w:val="24"/>
                <w:szCs w:val="24"/>
              </w:rPr>
            </w:pPr>
            <w:proofErr w:type="spellStart"/>
            <w:r w:rsidRPr="00D9232D">
              <w:rPr>
                <w:sz w:val="24"/>
                <w:szCs w:val="24"/>
              </w:rPr>
              <w:t>Turkey</w:t>
            </w:r>
            <w:proofErr w:type="spellEnd"/>
          </w:p>
        </w:tc>
        <w:tc>
          <w:tcPr>
            <w:tcW w:w="1001" w:type="dxa"/>
            <w:tcBorders>
              <w:top w:val="single" w:sz="4" w:space="0" w:color="auto"/>
              <w:left w:val="single" w:sz="4" w:space="0" w:color="auto"/>
              <w:bottom w:val="single" w:sz="4" w:space="0" w:color="auto"/>
              <w:right w:val="single" w:sz="4" w:space="0" w:color="auto"/>
            </w:tcBorders>
          </w:tcPr>
          <w:p w14:paraId="5A598A36" w14:textId="77777777" w:rsidR="00204E97" w:rsidRPr="00D9232D" w:rsidRDefault="00204E97" w:rsidP="00AA0A6A">
            <w:pPr>
              <w:spacing w:after="160" w:line="360" w:lineRule="auto"/>
              <w:rPr>
                <w:sz w:val="24"/>
                <w:szCs w:val="24"/>
              </w:rPr>
            </w:pPr>
            <w:r w:rsidRPr="00D9232D">
              <w:rPr>
                <w:sz w:val="24"/>
                <w:szCs w:val="24"/>
              </w:rPr>
              <w:t>6,125</w:t>
            </w:r>
          </w:p>
        </w:tc>
        <w:tc>
          <w:tcPr>
            <w:tcW w:w="936" w:type="dxa"/>
            <w:tcBorders>
              <w:top w:val="single" w:sz="4" w:space="0" w:color="auto"/>
              <w:left w:val="single" w:sz="4" w:space="0" w:color="auto"/>
              <w:bottom w:val="single" w:sz="4" w:space="0" w:color="auto"/>
              <w:right w:val="single" w:sz="4" w:space="0" w:color="auto"/>
            </w:tcBorders>
          </w:tcPr>
          <w:p w14:paraId="381825E4" w14:textId="77777777" w:rsidR="00204E97" w:rsidRPr="00D9232D" w:rsidRDefault="00204E97" w:rsidP="00AA0A6A">
            <w:pPr>
              <w:spacing w:after="160" w:line="360" w:lineRule="auto"/>
              <w:rPr>
                <w:sz w:val="24"/>
                <w:szCs w:val="24"/>
              </w:rPr>
            </w:pPr>
            <w:r w:rsidRPr="00D9232D">
              <w:rPr>
                <w:sz w:val="24"/>
                <w:szCs w:val="24"/>
              </w:rPr>
              <w:t>49.7</w:t>
            </w:r>
          </w:p>
        </w:tc>
        <w:tc>
          <w:tcPr>
            <w:tcW w:w="1203" w:type="dxa"/>
            <w:tcBorders>
              <w:top w:val="single" w:sz="4" w:space="0" w:color="auto"/>
              <w:left w:val="single" w:sz="4" w:space="0" w:color="auto"/>
              <w:bottom w:val="single" w:sz="4" w:space="0" w:color="auto"/>
              <w:right w:val="single" w:sz="4" w:space="0" w:color="auto"/>
            </w:tcBorders>
          </w:tcPr>
          <w:p w14:paraId="1172615D" w14:textId="77777777" w:rsidR="00204E97" w:rsidRPr="00D9232D" w:rsidRDefault="00204E97" w:rsidP="00AA0A6A">
            <w:pPr>
              <w:spacing w:after="160" w:line="360" w:lineRule="auto"/>
              <w:rPr>
                <w:sz w:val="24"/>
                <w:szCs w:val="24"/>
              </w:rPr>
            </w:pPr>
            <w:r w:rsidRPr="00D9232D">
              <w:rPr>
                <w:sz w:val="24"/>
                <w:szCs w:val="24"/>
              </w:rPr>
              <w:t>53.5</w:t>
            </w:r>
          </w:p>
        </w:tc>
        <w:tc>
          <w:tcPr>
            <w:tcW w:w="1220" w:type="dxa"/>
            <w:tcBorders>
              <w:top w:val="single" w:sz="4" w:space="0" w:color="auto"/>
              <w:left w:val="single" w:sz="4" w:space="0" w:color="auto"/>
              <w:bottom w:val="single" w:sz="4" w:space="0" w:color="auto"/>
              <w:right w:val="single" w:sz="4" w:space="0" w:color="auto"/>
            </w:tcBorders>
          </w:tcPr>
          <w:p w14:paraId="6C0DF5D6" w14:textId="77777777" w:rsidR="00204E97" w:rsidRPr="00D9232D" w:rsidRDefault="00204E97" w:rsidP="00AA0A6A">
            <w:pPr>
              <w:spacing w:after="160" w:line="360" w:lineRule="auto"/>
              <w:rPr>
                <w:sz w:val="24"/>
                <w:szCs w:val="24"/>
              </w:rPr>
            </w:pPr>
            <w:r w:rsidRPr="00D9232D">
              <w:rPr>
                <w:sz w:val="24"/>
                <w:szCs w:val="24"/>
              </w:rPr>
              <w:t>65.6</w:t>
            </w:r>
          </w:p>
        </w:tc>
        <w:tc>
          <w:tcPr>
            <w:tcW w:w="1174" w:type="dxa"/>
            <w:tcBorders>
              <w:top w:val="single" w:sz="4" w:space="0" w:color="auto"/>
              <w:left w:val="single" w:sz="4" w:space="0" w:color="auto"/>
              <w:bottom w:val="single" w:sz="4" w:space="0" w:color="auto"/>
              <w:right w:val="single" w:sz="4" w:space="0" w:color="auto"/>
            </w:tcBorders>
          </w:tcPr>
          <w:p w14:paraId="6E9D16C3" w14:textId="77777777" w:rsidR="00204E97" w:rsidRPr="00D9232D" w:rsidRDefault="00204E97" w:rsidP="00AA0A6A">
            <w:pPr>
              <w:spacing w:line="360" w:lineRule="auto"/>
              <w:rPr>
                <w:sz w:val="24"/>
                <w:szCs w:val="24"/>
              </w:rPr>
            </w:pPr>
            <w:r w:rsidRPr="00D9232D">
              <w:rPr>
                <w:sz w:val="24"/>
                <w:szCs w:val="24"/>
              </w:rPr>
              <w:t>18.5</w:t>
            </w:r>
          </w:p>
        </w:tc>
      </w:tr>
      <w:tr w:rsidR="00204E97" w:rsidRPr="00D9232D" w14:paraId="023509B8"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ABFEF1E" w14:textId="77777777" w:rsidR="00204E97" w:rsidRPr="00D9232D" w:rsidRDefault="00204E97" w:rsidP="00AA0A6A">
            <w:pPr>
              <w:spacing w:after="160" w:line="360" w:lineRule="auto"/>
              <w:rPr>
                <w:sz w:val="24"/>
                <w:szCs w:val="24"/>
              </w:rPr>
            </w:pPr>
            <w:proofErr w:type="spellStart"/>
            <w:r w:rsidRPr="00D9232D">
              <w:rPr>
                <w:sz w:val="24"/>
                <w:szCs w:val="24"/>
              </w:rPr>
              <w:t>Europe</w:t>
            </w:r>
            <w:proofErr w:type="spellEnd"/>
            <w:r w:rsidRPr="00D9232D">
              <w:rPr>
                <w:sz w:val="24"/>
                <w:szCs w:val="24"/>
              </w:rPr>
              <w:t xml:space="preserve"> A</w:t>
            </w:r>
          </w:p>
        </w:tc>
        <w:tc>
          <w:tcPr>
            <w:tcW w:w="1426" w:type="dxa"/>
            <w:tcBorders>
              <w:top w:val="single" w:sz="4" w:space="0" w:color="auto"/>
              <w:left w:val="single" w:sz="4" w:space="0" w:color="auto"/>
              <w:bottom w:val="single" w:sz="4" w:space="0" w:color="auto"/>
              <w:right w:val="single" w:sz="4" w:space="0" w:color="auto"/>
            </w:tcBorders>
          </w:tcPr>
          <w:p w14:paraId="30455852" w14:textId="77777777" w:rsidR="00204E97" w:rsidRPr="00D9232D" w:rsidRDefault="00204E97" w:rsidP="00AA0A6A">
            <w:pPr>
              <w:spacing w:after="160" w:line="360" w:lineRule="auto"/>
              <w:rPr>
                <w:sz w:val="24"/>
                <w:szCs w:val="24"/>
              </w:rPr>
            </w:pPr>
            <w:r w:rsidRPr="00D9232D">
              <w:rPr>
                <w:sz w:val="24"/>
                <w:szCs w:val="24"/>
              </w:rPr>
              <w:t>Austria</w:t>
            </w:r>
          </w:p>
        </w:tc>
        <w:tc>
          <w:tcPr>
            <w:tcW w:w="1001" w:type="dxa"/>
            <w:tcBorders>
              <w:top w:val="single" w:sz="4" w:space="0" w:color="auto"/>
              <w:left w:val="single" w:sz="4" w:space="0" w:color="auto"/>
              <w:bottom w:val="single" w:sz="4" w:space="0" w:color="auto"/>
              <w:right w:val="single" w:sz="4" w:space="0" w:color="auto"/>
            </w:tcBorders>
          </w:tcPr>
          <w:p w14:paraId="6F5A1688" w14:textId="77777777" w:rsidR="00204E97" w:rsidRPr="00D9232D" w:rsidRDefault="00204E97" w:rsidP="00AA0A6A">
            <w:pPr>
              <w:spacing w:after="160" w:line="360" w:lineRule="auto"/>
              <w:rPr>
                <w:sz w:val="24"/>
                <w:szCs w:val="24"/>
              </w:rPr>
            </w:pPr>
            <w:r w:rsidRPr="00D9232D">
              <w:rPr>
                <w:sz w:val="24"/>
                <w:szCs w:val="24"/>
              </w:rPr>
              <w:t>6,009</w:t>
            </w:r>
          </w:p>
        </w:tc>
        <w:tc>
          <w:tcPr>
            <w:tcW w:w="936" w:type="dxa"/>
            <w:tcBorders>
              <w:top w:val="single" w:sz="4" w:space="0" w:color="auto"/>
              <w:left w:val="single" w:sz="4" w:space="0" w:color="auto"/>
              <w:bottom w:val="single" w:sz="4" w:space="0" w:color="auto"/>
              <w:right w:val="single" w:sz="4" w:space="0" w:color="auto"/>
            </w:tcBorders>
          </w:tcPr>
          <w:p w14:paraId="6E1F49F4" w14:textId="77777777" w:rsidR="00204E97" w:rsidRPr="00D9232D" w:rsidRDefault="00204E97" w:rsidP="00AA0A6A">
            <w:pPr>
              <w:spacing w:after="160" w:line="360" w:lineRule="auto"/>
              <w:rPr>
                <w:sz w:val="24"/>
                <w:szCs w:val="24"/>
              </w:rPr>
            </w:pPr>
            <w:r w:rsidRPr="00D9232D">
              <w:rPr>
                <w:sz w:val="24"/>
                <w:szCs w:val="24"/>
              </w:rPr>
              <w:t>50.6</w:t>
            </w:r>
          </w:p>
        </w:tc>
        <w:tc>
          <w:tcPr>
            <w:tcW w:w="1203" w:type="dxa"/>
            <w:tcBorders>
              <w:top w:val="single" w:sz="4" w:space="0" w:color="auto"/>
              <w:left w:val="single" w:sz="4" w:space="0" w:color="auto"/>
              <w:bottom w:val="single" w:sz="4" w:space="0" w:color="auto"/>
              <w:right w:val="single" w:sz="4" w:space="0" w:color="auto"/>
            </w:tcBorders>
          </w:tcPr>
          <w:p w14:paraId="4164FADE" w14:textId="77777777" w:rsidR="00204E97" w:rsidRPr="00D9232D" w:rsidRDefault="00204E97" w:rsidP="00AA0A6A">
            <w:pPr>
              <w:spacing w:after="160" w:line="360" w:lineRule="auto"/>
              <w:rPr>
                <w:sz w:val="24"/>
                <w:szCs w:val="24"/>
              </w:rPr>
            </w:pPr>
            <w:r w:rsidRPr="00D9232D">
              <w:rPr>
                <w:sz w:val="24"/>
                <w:szCs w:val="24"/>
              </w:rPr>
              <w:t>68.9</w:t>
            </w:r>
          </w:p>
        </w:tc>
        <w:tc>
          <w:tcPr>
            <w:tcW w:w="1220" w:type="dxa"/>
            <w:tcBorders>
              <w:top w:val="single" w:sz="4" w:space="0" w:color="auto"/>
              <w:left w:val="single" w:sz="4" w:space="0" w:color="auto"/>
              <w:bottom w:val="single" w:sz="4" w:space="0" w:color="auto"/>
              <w:right w:val="single" w:sz="4" w:space="0" w:color="auto"/>
            </w:tcBorders>
          </w:tcPr>
          <w:p w14:paraId="59F8FFC6" w14:textId="77777777" w:rsidR="00204E97" w:rsidRPr="00D9232D" w:rsidRDefault="00204E97" w:rsidP="00AA0A6A">
            <w:pPr>
              <w:spacing w:after="160" w:line="360" w:lineRule="auto"/>
              <w:rPr>
                <w:sz w:val="24"/>
                <w:szCs w:val="24"/>
              </w:rPr>
            </w:pPr>
            <w:r w:rsidRPr="00D9232D">
              <w:rPr>
                <w:sz w:val="24"/>
                <w:szCs w:val="24"/>
              </w:rPr>
              <w:t>76.5</w:t>
            </w:r>
          </w:p>
        </w:tc>
        <w:tc>
          <w:tcPr>
            <w:tcW w:w="1174" w:type="dxa"/>
            <w:tcBorders>
              <w:top w:val="single" w:sz="4" w:space="0" w:color="auto"/>
              <w:left w:val="single" w:sz="4" w:space="0" w:color="auto"/>
              <w:bottom w:val="single" w:sz="4" w:space="0" w:color="auto"/>
              <w:right w:val="single" w:sz="4" w:space="0" w:color="auto"/>
            </w:tcBorders>
          </w:tcPr>
          <w:p w14:paraId="407922B3" w14:textId="77777777" w:rsidR="00204E97" w:rsidRPr="00D9232D" w:rsidRDefault="00204E97" w:rsidP="00AA0A6A">
            <w:pPr>
              <w:spacing w:line="360" w:lineRule="auto"/>
              <w:rPr>
                <w:sz w:val="24"/>
                <w:szCs w:val="24"/>
              </w:rPr>
            </w:pPr>
            <w:r w:rsidRPr="00D9232D">
              <w:rPr>
                <w:sz w:val="24"/>
                <w:szCs w:val="24"/>
              </w:rPr>
              <w:t>23.5</w:t>
            </w:r>
          </w:p>
        </w:tc>
      </w:tr>
      <w:tr w:rsidR="00204E97" w:rsidRPr="00D9232D" w14:paraId="44C9BEA3"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47C27F68"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0B9E8F08" w14:textId="77777777" w:rsidR="00204E97" w:rsidRPr="00D9232D" w:rsidRDefault="00204E97" w:rsidP="00AA0A6A">
            <w:pPr>
              <w:spacing w:after="160" w:line="360" w:lineRule="auto"/>
              <w:rPr>
                <w:sz w:val="24"/>
                <w:szCs w:val="24"/>
              </w:rPr>
            </w:pPr>
            <w:proofErr w:type="spellStart"/>
            <w:r w:rsidRPr="00D9232D">
              <w:rPr>
                <w:sz w:val="24"/>
                <w:szCs w:val="24"/>
              </w:rPr>
              <w:t>Belgium</w:t>
            </w:r>
            <w:proofErr w:type="spellEnd"/>
          </w:p>
        </w:tc>
        <w:tc>
          <w:tcPr>
            <w:tcW w:w="1001" w:type="dxa"/>
            <w:tcBorders>
              <w:top w:val="single" w:sz="4" w:space="0" w:color="auto"/>
              <w:left w:val="single" w:sz="4" w:space="0" w:color="auto"/>
              <w:bottom w:val="single" w:sz="4" w:space="0" w:color="auto"/>
              <w:right w:val="single" w:sz="4" w:space="0" w:color="auto"/>
            </w:tcBorders>
          </w:tcPr>
          <w:p w14:paraId="5CE1CCA5" w14:textId="77777777" w:rsidR="00204E97" w:rsidRPr="00D9232D" w:rsidRDefault="00204E97" w:rsidP="00AA0A6A">
            <w:pPr>
              <w:spacing w:after="160" w:line="360" w:lineRule="auto"/>
              <w:rPr>
                <w:sz w:val="24"/>
                <w:szCs w:val="24"/>
              </w:rPr>
            </w:pPr>
            <w:r w:rsidRPr="00D9232D">
              <w:rPr>
                <w:sz w:val="24"/>
                <w:szCs w:val="24"/>
              </w:rPr>
              <w:t>7,042</w:t>
            </w:r>
          </w:p>
        </w:tc>
        <w:tc>
          <w:tcPr>
            <w:tcW w:w="936" w:type="dxa"/>
            <w:tcBorders>
              <w:top w:val="single" w:sz="4" w:space="0" w:color="auto"/>
              <w:left w:val="single" w:sz="4" w:space="0" w:color="auto"/>
              <w:bottom w:val="single" w:sz="4" w:space="0" w:color="auto"/>
              <w:right w:val="single" w:sz="4" w:space="0" w:color="auto"/>
            </w:tcBorders>
          </w:tcPr>
          <w:p w14:paraId="5D74AC42" w14:textId="77777777" w:rsidR="00204E97" w:rsidRPr="00D9232D" w:rsidRDefault="00204E97" w:rsidP="00AA0A6A">
            <w:pPr>
              <w:spacing w:after="160" w:line="360" w:lineRule="auto"/>
              <w:rPr>
                <w:sz w:val="24"/>
                <w:szCs w:val="24"/>
              </w:rPr>
            </w:pPr>
            <w:r w:rsidRPr="00D9232D">
              <w:rPr>
                <w:sz w:val="24"/>
                <w:szCs w:val="24"/>
              </w:rPr>
              <w:t>51.8</w:t>
            </w:r>
          </w:p>
        </w:tc>
        <w:tc>
          <w:tcPr>
            <w:tcW w:w="1203" w:type="dxa"/>
            <w:tcBorders>
              <w:top w:val="single" w:sz="4" w:space="0" w:color="auto"/>
              <w:left w:val="single" w:sz="4" w:space="0" w:color="auto"/>
              <w:bottom w:val="single" w:sz="4" w:space="0" w:color="auto"/>
              <w:right w:val="single" w:sz="4" w:space="0" w:color="auto"/>
            </w:tcBorders>
          </w:tcPr>
          <w:p w14:paraId="60014368" w14:textId="77777777" w:rsidR="00204E97" w:rsidRPr="00D9232D" w:rsidRDefault="00204E97" w:rsidP="00AA0A6A">
            <w:pPr>
              <w:spacing w:after="160" w:line="360" w:lineRule="auto"/>
              <w:rPr>
                <w:sz w:val="24"/>
                <w:szCs w:val="24"/>
              </w:rPr>
            </w:pPr>
            <w:r w:rsidRPr="00D9232D">
              <w:rPr>
                <w:sz w:val="24"/>
                <w:szCs w:val="24"/>
              </w:rPr>
              <w:t>75.1</w:t>
            </w:r>
          </w:p>
        </w:tc>
        <w:tc>
          <w:tcPr>
            <w:tcW w:w="1220" w:type="dxa"/>
            <w:tcBorders>
              <w:top w:val="single" w:sz="4" w:space="0" w:color="auto"/>
              <w:left w:val="single" w:sz="4" w:space="0" w:color="auto"/>
              <w:bottom w:val="single" w:sz="4" w:space="0" w:color="auto"/>
              <w:right w:val="single" w:sz="4" w:space="0" w:color="auto"/>
            </w:tcBorders>
          </w:tcPr>
          <w:p w14:paraId="2B83C80C" w14:textId="77777777" w:rsidR="00204E97" w:rsidRPr="00D9232D" w:rsidRDefault="00204E97" w:rsidP="00AA0A6A">
            <w:pPr>
              <w:spacing w:after="160" w:line="360" w:lineRule="auto"/>
              <w:rPr>
                <w:sz w:val="24"/>
                <w:szCs w:val="24"/>
              </w:rPr>
            </w:pPr>
            <w:r w:rsidRPr="00D9232D">
              <w:rPr>
                <w:sz w:val="24"/>
                <w:szCs w:val="24"/>
              </w:rPr>
              <w:t>87.2</w:t>
            </w:r>
          </w:p>
        </w:tc>
        <w:tc>
          <w:tcPr>
            <w:tcW w:w="1174" w:type="dxa"/>
            <w:tcBorders>
              <w:top w:val="single" w:sz="4" w:space="0" w:color="auto"/>
              <w:left w:val="single" w:sz="4" w:space="0" w:color="auto"/>
              <w:bottom w:val="single" w:sz="4" w:space="0" w:color="auto"/>
              <w:right w:val="single" w:sz="4" w:space="0" w:color="auto"/>
            </w:tcBorders>
          </w:tcPr>
          <w:p w14:paraId="799E30F9" w14:textId="77777777" w:rsidR="00204E97" w:rsidRPr="00D9232D" w:rsidRDefault="00204E97" w:rsidP="00AA0A6A">
            <w:pPr>
              <w:spacing w:line="360" w:lineRule="auto"/>
              <w:rPr>
                <w:sz w:val="24"/>
                <w:szCs w:val="24"/>
              </w:rPr>
            </w:pPr>
            <w:r w:rsidRPr="00D9232D">
              <w:rPr>
                <w:sz w:val="24"/>
                <w:szCs w:val="24"/>
              </w:rPr>
              <w:t>16.8</w:t>
            </w:r>
          </w:p>
        </w:tc>
      </w:tr>
      <w:tr w:rsidR="00204E97" w:rsidRPr="00D9232D" w14:paraId="4B7609E9"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0AA34890"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5236B85" w14:textId="77777777" w:rsidR="00204E97" w:rsidRPr="00D9232D" w:rsidRDefault="00204E97" w:rsidP="00AA0A6A">
            <w:pPr>
              <w:spacing w:after="160" w:line="360" w:lineRule="auto"/>
              <w:rPr>
                <w:sz w:val="24"/>
                <w:szCs w:val="24"/>
              </w:rPr>
            </w:pPr>
            <w:proofErr w:type="spellStart"/>
            <w:r w:rsidRPr="00D9232D">
              <w:rPr>
                <w:sz w:val="24"/>
                <w:szCs w:val="24"/>
              </w:rPr>
              <w:t>Denmark</w:t>
            </w:r>
            <w:proofErr w:type="spellEnd"/>
          </w:p>
        </w:tc>
        <w:tc>
          <w:tcPr>
            <w:tcW w:w="1001" w:type="dxa"/>
            <w:tcBorders>
              <w:top w:val="single" w:sz="4" w:space="0" w:color="auto"/>
              <w:left w:val="single" w:sz="4" w:space="0" w:color="auto"/>
              <w:bottom w:val="single" w:sz="4" w:space="0" w:color="auto"/>
              <w:right w:val="single" w:sz="4" w:space="0" w:color="auto"/>
            </w:tcBorders>
          </w:tcPr>
          <w:p w14:paraId="2AE0916E" w14:textId="77777777" w:rsidR="00204E97" w:rsidRPr="00D9232D" w:rsidRDefault="00204E97" w:rsidP="00AA0A6A">
            <w:pPr>
              <w:spacing w:after="160" w:line="360" w:lineRule="auto"/>
              <w:rPr>
                <w:sz w:val="24"/>
                <w:szCs w:val="24"/>
              </w:rPr>
            </w:pPr>
            <w:r w:rsidRPr="00D9232D">
              <w:rPr>
                <w:sz w:val="24"/>
                <w:szCs w:val="24"/>
              </w:rPr>
              <w:t>6,280</w:t>
            </w:r>
          </w:p>
        </w:tc>
        <w:tc>
          <w:tcPr>
            <w:tcW w:w="936" w:type="dxa"/>
            <w:tcBorders>
              <w:top w:val="single" w:sz="4" w:space="0" w:color="auto"/>
              <w:left w:val="single" w:sz="4" w:space="0" w:color="auto"/>
              <w:bottom w:val="single" w:sz="4" w:space="0" w:color="auto"/>
              <w:right w:val="single" w:sz="4" w:space="0" w:color="auto"/>
            </w:tcBorders>
          </w:tcPr>
          <w:p w14:paraId="0437E0B6" w14:textId="77777777" w:rsidR="00204E97" w:rsidRPr="00D9232D" w:rsidRDefault="00204E97" w:rsidP="00AA0A6A">
            <w:pPr>
              <w:spacing w:after="160" w:line="360" w:lineRule="auto"/>
              <w:rPr>
                <w:sz w:val="24"/>
                <w:szCs w:val="24"/>
              </w:rPr>
            </w:pPr>
            <w:r w:rsidRPr="00D9232D">
              <w:rPr>
                <w:sz w:val="24"/>
                <w:szCs w:val="24"/>
              </w:rPr>
              <w:t>51.5</w:t>
            </w:r>
          </w:p>
        </w:tc>
        <w:tc>
          <w:tcPr>
            <w:tcW w:w="1203" w:type="dxa"/>
            <w:tcBorders>
              <w:top w:val="single" w:sz="4" w:space="0" w:color="auto"/>
              <w:left w:val="single" w:sz="4" w:space="0" w:color="auto"/>
              <w:bottom w:val="single" w:sz="4" w:space="0" w:color="auto"/>
              <w:right w:val="single" w:sz="4" w:space="0" w:color="auto"/>
            </w:tcBorders>
          </w:tcPr>
          <w:p w14:paraId="6EB45EFC" w14:textId="77777777" w:rsidR="00204E97" w:rsidRPr="00D9232D" w:rsidRDefault="00204E97" w:rsidP="00AA0A6A">
            <w:pPr>
              <w:spacing w:after="160" w:line="360" w:lineRule="auto"/>
              <w:rPr>
                <w:sz w:val="24"/>
                <w:szCs w:val="24"/>
              </w:rPr>
            </w:pPr>
            <w:r w:rsidRPr="00D9232D">
              <w:rPr>
                <w:sz w:val="24"/>
                <w:szCs w:val="24"/>
              </w:rPr>
              <w:t>81.5</w:t>
            </w:r>
          </w:p>
        </w:tc>
        <w:tc>
          <w:tcPr>
            <w:tcW w:w="1220" w:type="dxa"/>
            <w:tcBorders>
              <w:top w:val="single" w:sz="4" w:space="0" w:color="auto"/>
              <w:left w:val="single" w:sz="4" w:space="0" w:color="auto"/>
              <w:bottom w:val="single" w:sz="4" w:space="0" w:color="auto"/>
              <w:right w:val="single" w:sz="4" w:space="0" w:color="auto"/>
            </w:tcBorders>
          </w:tcPr>
          <w:p w14:paraId="18ACE495" w14:textId="77777777" w:rsidR="00204E97" w:rsidRPr="00D9232D" w:rsidRDefault="00204E97" w:rsidP="00AA0A6A">
            <w:pPr>
              <w:spacing w:after="160" w:line="360" w:lineRule="auto"/>
              <w:rPr>
                <w:sz w:val="24"/>
                <w:szCs w:val="24"/>
              </w:rPr>
            </w:pPr>
            <w:r w:rsidRPr="00D9232D">
              <w:rPr>
                <w:sz w:val="24"/>
                <w:szCs w:val="24"/>
              </w:rPr>
              <w:t>89.7</w:t>
            </w:r>
          </w:p>
        </w:tc>
        <w:tc>
          <w:tcPr>
            <w:tcW w:w="1174" w:type="dxa"/>
            <w:tcBorders>
              <w:top w:val="single" w:sz="4" w:space="0" w:color="auto"/>
              <w:left w:val="single" w:sz="4" w:space="0" w:color="auto"/>
              <w:bottom w:val="single" w:sz="4" w:space="0" w:color="auto"/>
              <w:right w:val="single" w:sz="4" w:space="0" w:color="auto"/>
            </w:tcBorders>
          </w:tcPr>
          <w:p w14:paraId="3BC9E57F" w14:textId="77777777" w:rsidR="00204E97" w:rsidRPr="00D9232D" w:rsidRDefault="00204E97" w:rsidP="00AA0A6A">
            <w:pPr>
              <w:spacing w:line="360" w:lineRule="auto"/>
              <w:rPr>
                <w:sz w:val="24"/>
                <w:szCs w:val="24"/>
              </w:rPr>
            </w:pPr>
            <w:r w:rsidRPr="00D9232D">
              <w:rPr>
                <w:sz w:val="24"/>
                <w:szCs w:val="24"/>
              </w:rPr>
              <w:t>70.5</w:t>
            </w:r>
          </w:p>
        </w:tc>
      </w:tr>
      <w:tr w:rsidR="00204E97" w:rsidRPr="00D9232D" w14:paraId="5E51061D"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0A670225"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2CC9F865" w14:textId="77777777" w:rsidR="00204E97" w:rsidRPr="00D9232D" w:rsidRDefault="00204E97" w:rsidP="00AA0A6A">
            <w:pPr>
              <w:spacing w:after="160" w:line="360" w:lineRule="auto"/>
              <w:rPr>
                <w:sz w:val="24"/>
                <w:szCs w:val="24"/>
              </w:rPr>
            </w:pPr>
            <w:proofErr w:type="spellStart"/>
            <w:r w:rsidRPr="00D9232D">
              <w:rPr>
                <w:sz w:val="24"/>
                <w:szCs w:val="24"/>
              </w:rPr>
              <w:t>Finland</w:t>
            </w:r>
            <w:proofErr w:type="spellEnd"/>
          </w:p>
        </w:tc>
        <w:tc>
          <w:tcPr>
            <w:tcW w:w="1001" w:type="dxa"/>
            <w:tcBorders>
              <w:top w:val="single" w:sz="4" w:space="0" w:color="auto"/>
              <w:left w:val="single" w:sz="4" w:space="0" w:color="auto"/>
              <w:bottom w:val="single" w:sz="4" w:space="0" w:color="auto"/>
              <w:right w:val="single" w:sz="4" w:space="0" w:color="auto"/>
            </w:tcBorders>
          </w:tcPr>
          <w:p w14:paraId="5B4B01F2" w14:textId="77777777" w:rsidR="00204E97" w:rsidRPr="00D9232D" w:rsidRDefault="00204E97" w:rsidP="00AA0A6A">
            <w:pPr>
              <w:spacing w:after="160" w:line="360" w:lineRule="auto"/>
              <w:rPr>
                <w:sz w:val="24"/>
                <w:szCs w:val="24"/>
              </w:rPr>
            </w:pPr>
            <w:r w:rsidRPr="00D9232D">
              <w:rPr>
                <w:sz w:val="24"/>
                <w:szCs w:val="24"/>
              </w:rPr>
              <w:t>4,956</w:t>
            </w:r>
          </w:p>
        </w:tc>
        <w:tc>
          <w:tcPr>
            <w:tcW w:w="936" w:type="dxa"/>
            <w:tcBorders>
              <w:top w:val="single" w:sz="4" w:space="0" w:color="auto"/>
              <w:left w:val="single" w:sz="4" w:space="0" w:color="auto"/>
              <w:bottom w:val="single" w:sz="4" w:space="0" w:color="auto"/>
              <w:right w:val="single" w:sz="4" w:space="0" w:color="auto"/>
            </w:tcBorders>
          </w:tcPr>
          <w:p w14:paraId="67969726" w14:textId="77777777" w:rsidR="00204E97" w:rsidRPr="00D9232D" w:rsidRDefault="00204E97" w:rsidP="00AA0A6A">
            <w:pPr>
              <w:spacing w:after="160" w:line="360" w:lineRule="auto"/>
              <w:rPr>
                <w:sz w:val="24"/>
                <w:szCs w:val="24"/>
              </w:rPr>
            </w:pPr>
            <w:r w:rsidRPr="00D9232D">
              <w:rPr>
                <w:sz w:val="24"/>
                <w:szCs w:val="24"/>
              </w:rPr>
              <w:t>50.5</w:t>
            </w:r>
          </w:p>
        </w:tc>
        <w:tc>
          <w:tcPr>
            <w:tcW w:w="1203" w:type="dxa"/>
            <w:tcBorders>
              <w:top w:val="single" w:sz="4" w:space="0" w:color="auto"/>
              <w:left w:val="single" w:sz="4" w:space="0" w:color="auto"/>
              <w:bottom w:val="single" w:sz="4" w:space="0" w:color="auto"/>
              <w:right w:val="single" w:sz="4" w:space="0" w:color="auto"/>
            </w:tcBorders>
          </w:tcPr>
          <w:p w14:paraId="17317EC6" w14:textId="77777777" w:rsidR="00204E97" w:rsidRPr="00D9232D" w:rsidRDefault="00204E97" w:rsidP="00AA0A6A">
            <w:pPr>
              <w:spacing w:after="160" w:line="360" w:lineRule="auto"/>
              <w:rPr>
                <w:sz w:val="24"/>
                <w:szCs w:val="24"/>
              </w:rPr>
            </w:pPr>
            <w:r w:rsidRPr="00D9232D">
              <w:rPr>
                <w:sz w:val="24"/>
                <w:szCs w:val="24"/>
              </w:rPr>
              <w:t>75.1</w:t>
            </w:r>
          </w:p>
        </w:tc>
        <w:tc>
          <w:tcPr>
            <w:tcW w:w="1220" w:type="dxa"/>
            <w:tcBorders>
              <w:top w:val="single" w:sz="4" w:space="0" w:color="auto"/>
              <w:left w:val="single" w:sz="4" w:space="0" w:color="auto"/>
              <w:bottom w:val="single" w:sz="4" w:space="0" w:color="auto"/>
              <w:right w:val="single" w:sz="4" w:space="0" w:color="auto"/>
            </w:tcBorders>
          </w:tcPr>
          <w:p w14:paraId="60D92FF8" w14:textId="77777777" w:rsidR="00204E97" w:rsidRPr="00D9232D" w:rsidRDefault="00204E97" w:rsidP="00AA0A6A">
            <w:pPr>
              <w:spacing w:after="160" w:line="360" w:lineRule="auto"/>
              <w:rPr>
                <w:sz w:val="24"/>
                <w:szCs w:val="24"/>
              </w:rPr>
            </w:pPr>
            <w:r w:rsidRPr="00D9232D">
              <w:rPr>
                <w:sz w:val="24"/>
                <w:szCs w:val="24"/>
              </w:rPr>
              <w:t>85.6</w:t>
            </w:r>
          </w:p>
        </w:tc>
        <w:tc>
          <w:tcPr>
            <w:tcW w:w="1174" w:type="dxa"/>
            <w:tcBorders>
              <w:top w:val="single" w:sz="4" w:space="0" w:color="auto"/>
              <w:left w:val="single" w:sz="4" w:space="0" w:color="auto"/>
              <w:bottom w:val="single" w:sz="4" w:space="0" w:color="auto"/>
              <w:right w:val="single" w:sz="4" w:space="0" w:color="auto"/>
            </w:tcBorders>
          </w:tcPr>
          <w:p w14:paraId="07122639" w14:textId="77777777" w:rsidR="00204E97" w:rsidRPr="00D9232D" w:rsidRDefault="00204E97" w:rsidP="00AA0A6A">
            <w:pPr>
              <w:spacing w:line="360" w:lineRule="auto"/>
              <w:rPr>
                <w:sz w:val="24"/>
                <w:szCs w:val="24"/>
              </w:rPr>
            </w:pPr>
            <w:r w:rsidRPr="00D9232D">
              <w:rPr>
                <w:sz w:val="24"/>
                <w:szCs w:val="24"/>
              </w:rPr>
              <w:t>25.8</w:t>
            </w:r>
          </w:p>
        </w:tc>
      </w:tr>
      <w:tr w:rsidR="00204E97" w:rsidRPr="00D9232D" w14:paraId="593D775C"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65646338"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573F4FA2" w14:textId="77777777" w:rsidR="00204E97" w:rsidRPr="00D9232D" w:rsidRDefault="00204E97" w:rsidP="00AA0A6A">
            <w:pPr>
              <w:spacing w:after="160" w:line="360" w:lineRule="auto"/>
              <w:rPr>
                <w:sz w:val="24"/>
                <w:szCs w:val="24"/>
              </w:rPr>
            </w:pPr>
            <w:r w:rsidRPr="00D9232D">
              <w:rPr>
                <w:sz w:val="24"/>
                <w:szCs w:val="24"/>
              </w:rPr>
              <w:t>France</w:t>
            </w:r>
          </w:p>
        </w:tc>
        <w:tc>
          <w:tcPr>
            <w:tcW w:w="1001" w:type="dxa"/>
            <w:tcBorders>
              <w:top w:val="single" w:sz="4" w:space="0" w:color="auto"/>
              <w:left w:val="single" w:sz="4" w:space="0" w:color="auto"/>
              <w:bottom w:val="single" w:sz="4" w:space="0" w:color="auto"/>
              <w:right w:val="single" w:sz="4" w:space="0" w:color="auto"/>
            </w:tcBorders>
          </w:tcPr>
          <w:p w14:paraId="32DED018" w14:textId="77777777" w:rsidR="00204E97" w:rsidRPr="00D9232D" w:rsidRDefault="00204E97" w:rsidP="00AA0A6A">
            <w:pPr>
              <w:spacing w:after="160" w:line="360" w:lineRule="auto"/>
              <w:rPr>
                <w:sz w:val="24"/>
                <w:szCs w:val="24"/>
              </w:rPr>
            </w:pPr>
            <w:r w:rsidRPr="00D9232D">
              <w:rPr>
                <w:sz w:val="24"/>
                <w:szCs w:val="24"/>
              </w:rPr>
              <w:t>5,411</w:t>
            </w:r>
          </w:p>
        </w:tc>
        <w:tc>
          <w:tcPr>
            <w:tcW w:w="936" w:type="dxa"/>
            <w:tcBorders>
              <w:top w:val="single" w:sz="4" w:space="0" w:color="auto"/>
              <w:left w:val="single" w:sz="4" w:space="0" w:color="auto"/>
              <w:bottom w:val="single" w:sz="4" w:space="0" w:color="auto"/>
              <w:right w:val="single" w:sz="4" w:space="0" w:color="auto"/>
            </w:tcBorders>
          </w:tcPr>
          <w:p w14:paraId="28E2052F" w14:textId="77777777" w:rsidR="00204E97" w:rsidRPr="00D9232D" w:rsidRDefault="00204E97" w:rsidP="00AA0A6A">
            <w:pPr>
              <w:spacing w:after="160" w:line="360" w:lineRule="auto"/>
              <w:rPr>
                <w:sz w:val="24"/>
                <w:szCs w:val="24"/>
              </w:rPr>
            </w:pPr>
            <w:r w:rsidRPr="00D9232D">
              <w:rPr>
                <w:sz w:val="24"/>
                <w:szCs w:val="24"/>
              </w:rPr>
              <w:t>49.7</w:t>
            </w:r>
          </w:p>
        </w:tc>
        <w:tc>
          <w:tcPr>
            <w:tcW w:w="1203" w:type="dxa"/>
            <w:tcBorders>
              <w:top w:val="single" w:sz="4" w:space="0" w:color="auto"/>
              <w:left w:val="single" w:sz="4" w:space="0" w:color="auto"/>
              <w:bottom w:val="single" w:sz="4" w:space="0" w:color="auto"/>
              <w:right w:val="single" w:sz="4" w:space="0" w:color="auto"/>
            </w:tcBorders>
          </w:tcPr>
          <w:p w14:paraId="01ED9519" w14:textId="77777777" w:rsidR="00204E97" w:rsidRPr="00D9232D" w:rsidRDefault="00204E97" w:rsidP="00AA0A6A">
            <w:pPr>
              <w:spacing w:after="160" w:line="360" w:lineRule="auto"/>
              <w:rPr>
                <w:sz w:val="24"/>
                <w:szCs w:val="24"/>
              </w:rPr>
            </w:pPr>
            <w:r w:rsidRPr="00D9232D">
              <w:rPr>
                <w:sz w:val="24"/>
                <w:szCs w:val="24"/>
              </w:rPr>
              <w:t>68.6</w:t>
            </w:r>
          </w:p>
        </w:tc>
        <w:tc>
          <w:tcPr>
            <w:tcW w:w="1220" w:type="dxa"/>
            <w:tcBorders>
              <w:top w:val="single" w:sz="4" w:space="0" w:color="auto"/>
              <w:left w:val="single" w:sz="4" w:space="0" w:color="auto"/>
              <w:bottom w:val="single" w:sz="4" w:space="0" w:color="auto"/>
              <w:right w:val="single" w:sz="4" w:space="0" w:color="auto"/>
            </w:tcBorders>
          </w:tcPr>
          <w:p w14:paraId="127D9C54" w14:textId="77777777" w:rsidR="00204E97" w:rsidRPr="00D9232D" w:rsidRDefault="00204E97" w:rsidP="00AA0A6A">
            <w:pPr>
              <w:spacing w:after="160" w:line="360" w:lineRule="auto"/>
              <w:rPr>
                <w:sz w:val="24"/>
                <w:szCs w:val="24"/>
              </w:rPr>
            </w:pPr>
            <w:r w:rsidRPr="00D9232D">
              <w:rPr>
                <w:sz w:val="24"/>
                <w:szCs w:val="24"/>
              </w:rPr>
              <w:t>83.3</w:t>
            </w:r>
          </w:p>
        </w:tc>
        <w:tc>
          <w:tcPr>
            <w:tcW w:w="1174" w:type="dxa"/>
            <w:tcBorders>
              <w:top w:val="single" w:sz="4" w:space="0" w:color="auto"/>
              <w:left w:val="single" w:sz="4" w:space="0" w:color="auto"/>
              <w:bottom w:val="single" w:sz="4" w:space="0" w:color="auto"/>
              <w:right w:val="single" w:sz="4" w:space="0" w:color="auto"/>
            </w:tcBorders>
          </w:tcPr>
          <w:p w14:paraId="77E2F77D" w14:textId="77777777" w:rsidR="00204E97" w:rsidRPr="00D9232D" w:rsidRDefault="00204E97" w:rsidP="00AA0A6A">
            <w:pPr>
              <w:spacing w:line="360" w:lineRule="auto"/>
              <w:rPr>
                <w:sz w:val="24"/>
                <w:szCs w:val="24"/>
              </w:rPr>
            </w:pPr>
            <w:r w:rsidRPr="00D9232D">
              <w:rPr>
                <w:sz w:val="24"/>
                <w:szCs w:val="24"/>
              </w:rPr>
              <w:t>16.7</w:t>
            </w:r>
          </w:p>
        </w:tc>
      </w:tr>
      <w:tr w:rsidR="00204E97" w:rsidRPr="00D9232D" w14:paraId="680C7C10"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2618F57E"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268E99EC" w14:textId="77777777" w:rsidR="00204E97" w:rsidRPr="00D9232D" w:rsidRDefault="00204E97" w:rsidP="00AA0A6A">
            <w:pPr>
              <w:spacing w:after="160" w:line="360" w:lineRule="auto"/>
              <w:rPr>
                <w:sz w:val="24"/>
                <w:szCs w:val="24"/>
              </w:rPr>
            </w:pPr>
            <w:proofErr w:type="spellStart"/>
            <w:r w:rsidRPr="00D9232D">
              <w:rPr>
                <w:sz w:val="24"/>
                <w:szCs w:val="24"/>
              </w:rPr>
              <w:t>Greece</w:t>
            </w:r>
            <w:proofErr w:type="spellEnd"/>
          </w:p>
        </w:tc>
        <w:tc>
          <w:tcPr>
            <w:tcW w:w="1001" w:type="dxa"/>
            <w:tcBorders>
              <w:top w:val="single" w:sz="4" w:space="0" w:color="auto"/>
              <w:left w:val="single" w:sz="4" w:space="0" w:color="auto"/>
              <w:bottom w:val="single" w:sz="4" w:space="0" w:color="auto"/>
              <w:right w:val="single" w:sz="4" w:space="0" w:color="auto"/>
            </w:tcBorders>
          </w:tcPr>
          <w:p w14:paraId="47B3C096" w14:textId="77777777" w:rsidR="00204E97" w:rsidRPr="00D9232D" w:rsidRDefault="00204E97" w:rsidP="00AA0A6A">
            <w:pPr>
              <w:spacing w:after="160" w:line="360" w:lineRule="auto"/>
              <w:rPr>
                <w:sz w:val="24"/>
                <w:szCs w:val="24"/>
              </w:rPr>
            </w:pPr>
            <w:r w:rsidRPr="00D9232D">
              <w:rPr>
                <w:sz w:val="24"/>
                <w:szCs w:val="24"/>
              </w:rPr>
              <w:t>5,466</w:t>
            </w:r>
          </w:p>
        </w:tc>
        <w:tc>
          <w:tcPr>
            <w:tcW w:w="936" w:type="dxa"/>
            <w:tcBorders>
              <w:top w:val="single" w:sz="4" w:space="0" w:color="auto"/>
              <w:left w:val="single" w:sz="4" w:space="0" w:color="auto"/>
              <w:bottom w:val="single" w:sz="4" w:space="0" w:color="auto"/>
              <w:right w:val="single" w:sz="4" w:space="0" w:color="auto"/>
            </w:tcBorders>
          </w:tcPr>
          <w:p w14:paraId="55F009C4" w14:textId="77777777" w:rsidR="00204E97" w:rsidRPr="00D9232D" w:rsidRDefault="00204E97" w:rsidP="00AA0A6A">
            <w:pPr>
              <w:spacing w:after="160" w:line="360" w:lineRule="auto"/>
              <w:rPr>
                <w:sz w:val="24"/>
                <w:szCs w:val="24"/>
              </w:rPr>
            </w:pPr>
            <w:r w:rsidRPr="00D9232D">
              <w:rPr>
                <w:sz w:val="24"/>
                <w:szCs w:val="24"/>
              </w:rPr>
              <w:t>51.5</w:t>
            </w:r>
          </w:p>
        </w:tc>
        <w:tc>
          <w:tcPr>
            <w:tcW w:w="1203" w:type="dxa"/>
            <w:tcBorders>
              <w:top w:val="single" w:sz="4" w:space="0" w:color="auto"/>
              <w:left w:val="single" w:sz="4" w:space="0" w:color="auto"/>
              <w:bottom w:val="single" w:sz="4" w:space="0" w:color="auto"/>
              <w:right w:val="single" w:sz="4" w:space="0" w:color="auto"/>
            </w:tcBorders>
          </w:tcPr>
          <w:p w14:paraId="74B384C8" w14:textId="77777777" w:rsidR="00204E97" w:rsidRPr="00D9232D" w:rsidRDefault="00204E97" w:rsidP="00AA0A6A">
            <w:pPr>
              <w:spacing w:after="160" w:line="360" w:lineRule="auto"/>
              <w:rPr>
                <w:sz w:val="24"/>
                <w:szCs w:val="24"/>
              </w:rPr>
            </w:pPr>
            <w:r w:rsidRPr="00D9232D">
              <w:rPr>
                <w:sz w:val="24"/>
                <w:szCs w:val="24"/>
              </w:rPr>
              <w:t>65.4</w:t>
            </w:r>
          </w:p>
        </w:tc>
        <w:tc>
          <w:tcPr>
            <w:tcW w:w="1220" w:type="dxa"/>
            <w:tcBorders>
              <w:top w:val="single" w:sz="4" w:space="0" w:color="auto"/>
              <w:left w:val="single" w:sz="4" w:space="0" w:color="auto"/>
              <w:bottom w:val="single" w:sz="4" w:space="0" w:color="auto"/>
              <w:right w:val="single" w:sz="4" w:space="0" w:color="auto"/>
            </w:tcBorders>
          </w:tcPr>
          <w:p w14:paraId="25F9F208" w14:textId="77777777" w:rsidR="00204E97" w:rsidRPr="00D9232D" w:rsidRDefault="00204E97" w:rsidP="00AA0A6A">
            <w:pPr>
              <w:spacing w:after="160" w:line="360" w:lineRule="auto"/>
              <w:rPr>
                <w:sz w:val="24"/>
                <w:szCs w:val="24"/>
              </w:rPr>
            </w:pPr>
            <w:r w:rsidRPr="00D9232D">
              <w:rPr>
                <w:sz w:val="24"/>
                <w:szCs w:val="24"/>
              </w:rPr>
              <w:t>81.0</w:t>
            </w:r>
          </w:p>
        </w:tc>
        <w:tc>
          <w:tcPr>
            <w:tcW w:w="1174" w:type="dxa"/>
            <w:tcBorders>
              <w:top w:val="single" w:sz="4" w:space="0" w:color="auto"/>
              <w:left w:val="single" w:sz="4" w:space="0" w:color="auto"/>
              <w:bottom w:val="single" w:sz="4" w:space="0" w:color="auto"/>
              <w:right w:val="single" w:sz="4" w:space="0" w:color="auto"/>
            </w:tcBorders>
          </w:tcPr>
          <w:p w14:paraId="00C6DCAD" w14:textId="77777777" w:rsidR="00204E97" w:rsidRPr="00D9232D" w:rsidRDefault="00204E97" w:rsidP="00AA0A6A">
            <w:pPr>
              <w:spacing w:line="360" w:lineRule="auto"/>
              <w:rPr>
                <w:sz w:val="24"/>
                <w:szCs w:val="24"/>
              </w:rPr>
            </w:pPr>
            <w:r w:rsidRPr="00D9232D">
              <w:rPr>
                <w:sz w:val="24"/>
                <w:szCs w:val="24"/>
              </w:rPr>
              <w:t>20.5</w:t>
            </w:r>
          </w:p>
        </w:tc>
      </w:tr>
      <w:tr w:rsidR="00204E97" w:rsidRPr="00D9232D" w14:paraId="362A2A12"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420059E4"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22854A3C" w14:textId="77777777" w:rsidR="00204E97" w:rsidRPr="00D9232D" w:rsidRDefault="00204E97" w:rsidP="00AA0A6A">
            <w:pPr>
              <w:spacing w:after="160" w:line="360" w:lineRule="auto"/>
              <w:rPr>
                <w:sz w:val="24"/>
                <w:szCs w:val="24"/>
              </w:rPr>
            </w:pPr>
            <w:proofErr w:type="spellStart"/>
            <w:r w:rsidRPr="00D9232D">
              <w:rPr>
                <w:sz w:val="24"/>
                <w:szCs w:val="24"/>
              </w:rPr>
              <w:t>Iceland</w:t>
            </w:r>
            <w:proofErr w:type="spellEnd"/>
          </w:p>
        </w:tc>
        <w:tc>
          <w:tcPr>
            <w:tcW w:w="1001" w:type="dxa"/>
            <w:tcBorders>
              <w:top w:val="single" w:sz="4" w:space="0" w:color="auto"/>
              <w:left w:val="single" w:sz="4" w:space="0" w:color="auto"/>
              <w:bottom w:val="single" w:sz="4" w:space="0" w:color="auto"/>
              <w:right w:val="single" w:sz="4" w:space="0" w:color="auto"/>
            </w:tcBorders>
          </w:tcPr>
          <w:p w14:paraId="6E7DA16E" w14:textId="77777777" w:rsidR="00204E97" w:rsidRPr="00D9232D" w:rsidRDefault="00204E97" w:rsidP="00AA0A6A">
            <w:pPr>
              <w:spacing w:after="160" w:line="360" w:lineRule="auto"/>
              <w:rPr>
                <w:sz w:val="24"/>
                <w:szCs w:val="24"/>
              </w:rPr>
            </w:pPr>
            <w:r w:rsidRPr="00D9232D">
              <w:rPr>
                <w:sz w:val="24"/>
                <w:szCs w:val="24"/>
              </w:rPr>
              <w:t>2,754</w:t>
            </w:r>
          </w:p>
        </w:tc>
        <w:tc>
          <w:tcPr>
            <w:tcW w:w="936" w:type="dxa"/>
            <w:tcBorders>
              <w:top w:val="single" w:sz="4" w:space="0" w:color="auto"/>
              <w:left w:val="single" w:sz="4" w:space="0" w:color="auto"/>
              <w:bottom w:val="single" w:sz="4" w:space="0" w:color="auto"/>
              <w:right w:val="single" w:sz="4" w:space="0" w:color="auto"/>
            </w:tcBorders>
          </w:tcPr>
          <w:p w14:paraId="64A6FDA8" w14:textId="77777777" w:rsidR="00204E97" w:rsidRPr="00D9232D" w:rsidRDefault="00204E97" w:rsidP="00AA0A6A">
            <w:pPr>
              <w:spacing w:after="160" w:line="360" w:lineRule="auto"/>
              <w:rPr>
                <w:sz w:val="24"/>
                <w:szCs w:val="24"/>
              </w:rPr>
            </w:pPr>
            <w:r w:rsidRPr="00D9232D">
              <w:rPr>
                <w:sz w:val="24"/>
                <w:szCs w:val="24"/>
              </w:rPr>
              <w:t>52.3</w:t>
            </w:r>
          </w:p>
        </w:tc>
        <w:tc>
          <w:tcPr>
            <w:tcW w:w="1203" w:type="dxa"/>
            <w:tcBorders>
              <w:top w:val="single" w:sz="4" w:space="0" w:color="auto"/>
              <w:left w:val="single" w:sz="4" w:space="0" w:color="auto"/>
              <w:bottom w:val="single" w:sz="4" w:space="0" w:color="auto"/>
              <w:right w:val="single" w:sz="4" w:space="0" w:color="auto"/>
            </w:tcBorders>
          </w:tcPr>
          <w:p w14:paraId="755E0A3E" w14:textId="77777777" w:rsidR="00204E97" w:rsidRPr="00D9232D" w:rsidRDefault="00204E97" w:rsidP="00AA0A6A">
            <w:pPr>
              <w:spacing w:after="160" w:line="360" w:lineRule="auto"/>
              <w:rPr>
                <w:sz w:val="24"/>
                <w:szCs w:val="24"/>
              </w:rPr>
            </w:pPr>
            <w:r w:rsidRPr="00D9232D">
              <w:rPr>
                <w:sz w:val="24"/>
                <w:szCs w:val="24"/>
              </w:rPr>
              <w:t>74.2</w:t>
            </w:r>
          </w:p>
        </w:tc>
        <w:tc>
          <w:tcPr>
            <w:tcW w:w="1220" w:type="dxa"/>
            <w:tcBorders>
              <w:top w:val="single" w:sz="4" w:space="0" w:color="auto"/>
              <w:left w:val="single" w:sz="4" w:space="0" w:color="auto"/>
              <w:bottom w:val="single" w:sz="4" w:space="0" w:color="auto"/>
              <w:right w:val="single" w:sz="4" w:space="0" w:color="auto"/>
            </w:tcBorders>
          </w:tcPr>
          <w:p w14:paraId="33BBE229" w14:textId="77777777" w:rsidR="00204E97" w:rsidRPr="00D9232D" w:rsidRDefault="00204E97" w:rsidP="00AA0A6A">
            <w:pPr>
              <w:spacing w:after="160" w:line="360" w:lineRule="auto"/>
              <w:rPr>
                <w:sz w:val="24"/>
                <w:szCs w:val="24"/>
              </w:rPr>
            </w:pPr>
            <w:r w:rsidRPr="00D9232D">
              <w:rPr>
                <w:sz w:val="24"/>
                <w:szCs w:val="24"/>
              </w:rPr>
              <w:t>84.5</w:t>
            </w:r>
          </w:p>
        </w:tc>
        <w:tc>
          <w:tcPr>
            <w:tcW w:w="1174" w:type="dxa"/>
            <w:tcBorders>
              <w:top w:val="single" w:sz="4" w:space="0" w:color="auto"/>
              <w:left w:val="single" w:sz="4" w:space="0" w:color="auto"/>
              <w:bottom w:val="single" w:sz="4" w:space="0" w:color="auto"/>
              <w:right w:val="single" w:sz="4" w:space="0" w:color="auto"/>
            </w:tcBorders>
          </w:tcPr>
          <w:p w14:paraId="49E01FA0" w14:textId="77777777" w:rsidR="00204E97" w:rsidRPr="00D9232D" w:rsidRDefault="00204E97" w:rsidP="00AA0A6A">
            <w:pPr>
              <w:spacing w:line="360" w:lineRule="auto"/>
              <w:rPr>
                <w:sz w:val="24"/>
                <w:szCs w:val="24"/>
              </w:rPr>
            </w:pPr>
            <w:r w:rsidRPr="00D9232D">
              <w:rPr>
                <w:sz w:val="24"/>
                <w:szCs w:val="24"/>
              </w:rPr>
              <w:t>30.9</w:t>
            </w:r>
          </w:p>
        </w:tc>
      </w:tr>
      <w:tr w:rsidR="00204E97" w:rsidRPr="00D9232D" w14:paraId="2B4B8436"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0A9CD26E"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D4169ED" w14:textId="77777777" w:rsidR="00204E97" w:rsidRPr="00D9232D" w:rsidRDefault="00204E97" w:rsidP="00AA0A6A">
            <w:pPr>
              <w:spacing w:after="160" w:line="360" w:lineRule="auto"/>
              <w:rPr>
                <w:sz w:val="24"/>
                <w:szCs w:val="24"/>
              </w:rPr>
            </w:pPr>
            <w:proofErr w:type="spellStart"/>
            <w:r w:rsidRPr="00D9232D">
              <w:rPr>
                <w:sz w:val="24"/>
                <w:szCs w:val="24"/>
              </w:rPr>
              <w:t>Ireland</w:t>
            </w:r>
            <w:proofErr w:type="spellEnd"/>
          </w:p>
        </w:tc>
        <w:tc>
          <w:tcPr>
            <w:tcW w:w="1001" w:type="dxa"/>
            <w:tcBorders>
              <w:top w:val="single" w:sz="4" w:space="0" w:color="auto"/>
              <w:left w:val="single" w:sz="4" w:space="0" w:color="auto"/>
              <w:bottom w:val="single" w:sz="4" w:space="0" w:color="auto"/>
              <w:right w:val="single" w:sz="4" w:space="0" w:color="auto"/>
            </w:tcBorders>
          </w:tcPr>
          <w:p w14:paraId="11898A22" w14:textId="77777777" w:rsidR="00204E97" w:rsidRPr="00D9232D" w:rsidRDefault="00204E97" w:rsidP="00AA0A6A">
            <w:pPr>
              <w:spacing w:after="160" w:line="360" w:lineRule="auto"/>
              <w:rPr>
                <w:sz w:val="24"/>
                <w:szCs w:val="24"/>
              </w:rPr>
            </w:pPr>
            <w:r w:rsidRPr="00D9232D">
              <w:rPr>
                <w:sz w:val="24"/>
                <w:szCs w:val="24"/>
              </w:rPr>
              <w:t>5,062</w:t>
            </w:r>
          </w:p>
        </w:tc>
        <w:tc>
          <w:tcPr>
            <w:tcW w:w="936" w:type="dxa"/>
            <w:tcBorders>
              <w:top w:val="single" w:sz="4" w:space="0" w:color="auto"/>
              <w:left w:val="single" w:sz="4" w:space="0" w:color="auto"/>
              <w:bottom w:val="single" w:sz="4" w:space="0" w:color="auto"/>
              <w:right w:val="single" w:sz="4" w:space="0" w:color="auto"/>
            </w:tcBorders>
          </w:tcPr>
          <w:p w14:paraId="6484F671" w14:textId="77777777" w:rsidR="00204E97" w:rsidRPr="00D9232D" w:rsidRDefault="00204E97" w:rsidP="00AA0A6A">
            <w:pPr>
              <w:spacing w:after="160" w:line="360" w:lineRule="auto"/>
              <w:rPr>
                <w:sz w:val="24"/>
                <w:szCs w:val="24"/>
              </w:rPr>
            </w:pPr>
            <w:r w:rsidRPr="00D9232D">
              <w:rPr>
                <w:sz w:val="24"/>
                <w:szCs w:val="24"/>
              </w:rPr>
              <w:t>50.6</w:t>
            </w:r>
          </w:p>
        </w:tc>
        <w:tc>
          <w:tcPr>
            <w:tcW w:w="1203" w:type="dxa"/>
            <w:tcBorders>
              <w:top w:val="single" w:sz="4" w:space="0" w:color="auto"/>
              <w:left w:val="single" w:sz="4" w:space="0" w:color="auto"/>
              <w:bottom w:val="single" w:sz="4" w:space="0" w:color="auto"/>
              <w:right w:val="single" w:sz="4" w:space="0" w:color="auto"/>
            </w:tcBorders>
          </w:tcPr>
          <w:p w14:paraId="5BEF40D0" w14:textId="77777777" w:rsidR="00204E97" w:rsidRPr="00D9232D" w:rsidRDefault="00204E97" w:rsidP="00AA0A6A">
            <w:pPr>
              <w:spacing w:after="160" w:line="360" w:lineRule="auto"/>
              <w:rPr>
                <w:sz w:val="24"/>
                <w:szCs w:val="24"/>
              </w:rPr>
            </w:pPr>
            <w:r w:rsidRPr="00D9232D">
              <w:rPr>
                <w:sz w:val="24"/>
                <w:szCs w:val="24"/>
              </w:rPr>
              <w:t>74.8</w:t>
            </w:r>
          </w:p>
        </w:tc>
        <w:tc>
          <w:tcPr>
            <w:tcW w:w="1220" w:type="dxa"/>
            <w:tcBorders>
              <w:top w:val="single" w:sz="4" w:space="0" w:color="auto"/>
              <w:left w:val="single" w:sz="4" w:space="0" w:color="auto"/>
              <w:bottom w:val="single" w:sz="4" w:space="0" w:color="auto"/>
              <w:right w:val="single" w:sz="4" w:space="0" w:color="auto"/>
            </w:tcBorders>
          </w:tcPr>
          <w:p w14:paraId="04965DC2" w14:textId="77777777" w:rsidR="00204E97" w:rsidRPr="00D9232D" w:rsidRDefault="00204E97" w:rsidP="00AA0A6A">
            <w:pPr>
              <w:spacing w:after="160" w:line="360" w:lineRule="auto"/>
              <w:rPr>
                <w:sz w:val="24"/>
                <w:szCs w:val="24"/>
              </w:rPr>
            </w:pPr>
            <w:r w:rsidRPr="00D9232D">
              <w:rPr>
                <w:sz w:val="24"/>
                <w:szCs w:val="24"/>
              </w:rPr>
              <w:t>85.6</w:t>
            </w:r>
          </w:p>
        </w:tc>
        <w:tc>
          <w:tcPr>
            <w:tcW w:w="1174" w:type="dxa"/>
            <w:tcBorders>
              <w:top w:val="single" w:sz="4" w:space="0" w:color="auto"/>
              <w:left w:val="single" w:sz="4" w:space="0" w:color="auto"/>
              <w:bottom w:val="single" w:sz="4" w:space="0" w:color="auto"/>
              <w:right w:val="single" w:sz="4" w:space="0" w:color="auto"/>
            </w:tcBorders>
          </w:tcPr>
          <w:p w14:paraId="17978810" w14:textId="77777777" w:rsidR="00204E97" w:rsidRPr="00D9232D" w:rsidRDefault="00204E97" w:rsidP="00AA0A6A">
            <w:pPr>
              <w:spacing w:line="360" w:lineRule="auto"/>
              <w:rPr>
                <w:sz w:val="24"/>
                <w:szCs w:val="24"/>
              </w:rPr>
            </w:pPr>
            <w:r w:rsidRPr="00D9232D">
              <w:rPr>
                <w:sz w:val="24"/>
                <w:szCs w:val="24"/>
              </w:rPr>
              <w:t>9.8</w:t>
            </w:r>
          </w:p>
        </w:tc>
      </w:tr>
      <w:tr w:rsidR="00204E97" w:rsidRPr="00D9232D" w14:paraId="7C7E8613"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0B1BE084"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4780D3B6" w14:textId="77777777" w:rsidR="00204E97" w:rsidRPr="00D9232D" w:rsidRDefault="00204E97" w:rsidP="00AA0A6A">
            <w:pPr>
              <w:spacing w:after="160" w:line="360" w:lineRule="auto"/>
              <w:rPr>
                <w:sz w:val="24"/>
                <w:szCs w:val="24"/>
              </w:rPr>
            </w:pPr>
            <w:proofErr w:type="spellStart"/>
            <w:r w:rsidRPr="00D9232D">
              <w:rPr>
                <w:sz w:val="24"/>
                <w:szCs w:val="24"/>
              </w:rPr>
              <w:t>Italy</w:t>
            </w:r>
            <w:proofErr w:type="spellEnd"/>
          </w:p>
        </w:tc>
        <w:tc>
          <w:tcPr>
            <w:tcW w:w="1001" w:type="dxa"/>
            <w:tcBorders>
              <w:top w:val="single" w:sz="4" w:space="0" w:color="auto"/>
              <w:left w:val="single" w:sz="4" w:space="0" w:color="auto"/>
              <w:bottom w:val="single" w:sz="4" w:space="0" w:color="auto"/>
              <w:right w:val="single" w:sz="4" w:space="0" w:color="auto"/>
            </w:tcBorders>
          </w:tcPr>
          <w:p w14:paraId="3446C9F4" w14:textId="77777777" w:rsidR="00204E97" w:rsidRPr="00D9232D" w:rsidRDefault="00204E97" w:rsidP="00AA0A6A">
            <w:pPr>
              <w:spacing w:after="160" w:line="360" w:lineRule="auto"/>
              <w:rPr>
                <w:sz w:val="24"/>
                <w:szCs w:val="24"/>
              </w:rPr>
            </w:pPr>
            <w:r w:rsidRPr="00D9232D">
              <w:rPr>
                <w:sz w:val="24"/>
                <w:szCs w:val="24"/>
              </w:rPr>
              <w:t>10,024</w:t>
            </w:r>
          </w:p>
        </w:tc>
        <w:tc>
          <w:tcPr>
            <w:tcW w:w="936" w:type="dxa"/>
            <w:tcBorders>
              <w:top w:val="single" w:sz="4" w:space="0" w:color="auto"/>
              <w:left w:val="single" w:sz="4" w:space="0" w:color="auto"/>
              <w:bottom w:val="single" w:sz="4" w:space="0" w:color="auto"/>
              <w:right w:val="single" w:sz="4" w:space="0" w:color="auto"/>
            </w:tcBorders>
          </w:tcPr>
          <w:p w14:paraId="1ABE7181" w14:textId="77777777" w:rsidR="00204E97" w:rsidRPr="00D9232D" w:rsidRDefault="00204E97" w:rsidP="00AA0A6A">
            <w:pPr>
              <w:spacing w:after="160" w:line="360" w:lineRule="auto"/>
              <w:rPr>
                <w:sz w:val="24"/>
                <w:szCs w:val="24"/>
              </w:rPr>
            </w:pPr>
            <w:r w:rsidRPr="00D9232D">
              <w:rPr>
                <w:sz w:val="24"/>
                <w:szCs w:val="24"/>
              </w:rPr>
              <w:t>49.4</w:t>
            </w:r>
          </w:p>
        </w:tc>
        <w:tc>
          <w:tcPr>
            <w:tcW w:w="1203" w:type="dxa"/>
            <w:tcBorders>
              <w:top w:val="single" w:sz="4" w:space="0" w:color="auto"/>
              <w:left w:val="single" w:sz="4" w:space="0" w:color="auto"/>
              <w:bottom w:val="single" w:sz="4" w:space="0" w:color="auto"/>
              <w:right w:val="single" w:sz="4" w:space="0" w:color="auto"/>
            </w:tcBorders>
          </w:tcPr>
          <w:p w14:paraId="17152FDE" w14:textId="77777777" w:rsidR="00204E97" w:rsidRPr="00D9232D" w:rsidRDefault="00204E97" w:rsidP="00AA0A6A">
            <w:pPr>
              <w:spacing w:after="160" w:line="360" w:lineRule="auto"/>
              <w:rPr>
                <w:sz w:val="24"/>
                <w:szCs w:val="24"/>
              </w:rPr>
            </w:pPr>
            <w:r w:rsidRPr="00D9232D">
              <w:rPr>
                <w:sz w:val="24"/>
                <w:szCs w:val="24"/>
              </w:rPr>
              <w:t>70.2</w:t>
            </w:r>
          </w:p>
        </w:tc>
        <w:tc>
          <w:tcPr>
            <w:tcW w:w="1220" w:type="dxa"/>
            <w:tcBorders>
              <w:top w:val="single" w:sz="4" w:space="0" w:color="auto"/>
              <w:left w:val="single" w:sz="4" w:space="0" w:color="auto"/>
              <w:bottom w:val="single" w:sz="4" w:space="0" w:color="auto"/>
              <w:right w:val="single" w:sz="4" w:space="0" w:color="auto"/>
            </w:tcBorders>
          </w:tcPr>
          <w:p w14:paraId="22DA0E80" w14:textId="77777777" w:rsidR="00204E97" w:rsidRPr="00D9232D" w:rsidRDefault="00204E97" w:rsidP="00AA0A6A">
            <w:pPr>
              <w:spacing w:after="160" w:line="360" w:lineRule="auto"/>
              <w:rPr>
                <w:sz w:val="24"/>
                <w:szCs w:val="24"/>
              </w:rPr>
            </w:pPr>
            <w:r w:rsidRPr="00D9232D">
              <w:rPr>
                <w:sz w:val="24"/>
                <w:szCs w:val="24"/>
              </w:rPr>
              <w:t>71.0</w:t>
            </w:r>
          </w:p>
        </w:tc>
        <w:tc>
          <w:tcPr>
            <w:tcW w:w="1174" w:type="dxa"/>
            <w:tcBorders>
              <w:top w:val="single" w:sz="4" w:space="0" w:color="auto"/>
              <w:left w:val="single" w:sz="4" w:space="0" w:color="auto"/>
              <w:bottom w:val="single" w:sz="4" w:space="0" w:color="auto"/>
              <w:right w:val="single" w:sz="4" w:space="0" w:color="auto"/>
            </w:tcBorders>
          </w:tcPr>
          <w:p w14:paraId="226AF67B" w14:textId="77777777" w:rsidR="00204E97" w:rsidRPr="00D9232D" w:rsidRDefault="00204E97" w:rsidP="00AA0A6A">
            <w:pPr>
              <w:spacing w:line="360" w:lineRule="auto"/>
              <w:rPr>
                <w:sz w:val="24"/>
                <w:szCs w:val="24"/>
              </w:rPr>
            </w:pPr>
            <w:r w:rsidRPr="00D9232D">
              <w:rPr>
                <w:sz w:val="24"/>
                <w:szCs w:val="24"/>
              </w:rPr>
              <w:t>19.7</w:t>
            </w:r>
          </w:p>
        </w:tc>
      </w:tr>
      <w:tr w:rsidR="00204E97" w:rsidRPr="00D9232D" w14:paraId="7ABCA064"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1CEA8C5A"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6D171F80" w14:textId="77777777" w:rsidR="00204E97" w:rsidRPr="00D9232D" w:rsidRDefault="00204E97" w:rsidP="00AA0A6A">
            <w:pPr>
              <w:spacing w:after="160" w:line="360" w:lineRule="auto"/>
              <w:rPr>
                <w:sz w:val="24"/>
                <w:szCs w:val="24"/>
              </w:rPr>
            </w:pPr>
            <w:proofErr w:type="spellStart"/>
            <w:r w:rsidRPr="00D9232D">
              <w:rPr>
                <w:sz w:val="24"/>
                <w:szCs w:val="24"/>
              </w:rPr>
              <w:t>Luxembourg</w:t>
            </w:r>
            <w:proofErr w:type="spellEnd"/>
          </w:p>
        </w:tc>
        <w:tc>
          <w:tcPr>
            <w:tcW w:w="1001" w:type="dxa"/>
            <w:tcBorders>
              <w:top w:val="single" w:sz="4" w:space="0" w:color="auto"/>
              <w:left w:val="single" w:sz="4" w:space="0" w:color="auto"/>
              <w:bottom w:val="single" w:sz="4" w:space="0" w:color="auto"/>
              <w:right w:val="single" w:sz="4" w:space="0" w:color="auto"/>
            </w:tcBorders>
          </w:tcPr>
          <w:p w14:paraId="2B20644B" w14:textId="77777777" w:rsidR="00204E97" w:rsidRPr="00D9232D" w:rsidRDefault="00204E97" w:rsidP="00AA0A6A">
            <w:pPr>
              <w:spacing w:after="160" w:line="360" w:lineRule="auto"/>
              <w:rPr>
                <w:sz w:val="24"/>
                <w:szCs w:val="24"/>
              </w:rPr>
            </w:pPr>
            <w:r w:rsidRPr="00D9232D">
              <w:rPr>
                <w:sz w:val="24"/>
                <w:szCs w:val="24"/>
              </w:rPr>
              <w:t>4,440</w:t>
            </w:r>
          </w:p>
        </w:tc>
        <w:tc>
          <w:tcPr>
            <w:tcW w:w="936" w:type="dxa"/>
            <w:tcBorders>
              <w:top w:val="single" w:sz="4" w:space="0" w:color="auto"/>
              <w:left w:val="single" w:sz="4" w:space="0" w:color="auto"/>
              <w:bottom w:val="single" w:sz="4" w:space="0" w:color="auto"/>
              <w:right w:val="single" w:sz="4" w:space="0" w:color="auto"/>
            </w:tcBorders>
          </w:tcPr>
          <w:p w14:paraId="14B44F37" w14:textId="77777777" w:rsidR="00204E97" w:rsidRPr="00D9232D" w:rsidRDefault="00204E97" w:rsidP="00AA0A6A">
            <w:pPr>
              <w:spacing w:after="160" w:line="360" w:lineRule="auto"/>
              <w:rPr>
                <w:sz w:val="24"/>
                <w:szCs w:val="24"/>
              </w:rPr>
            </w:pPr>
            <w:r w:rsidRPr="00D9232D">
              <w:rPr>
                <w:sz w:val="24"/>
                <w:szCs w:val="24"/>
              </w:rPr>
              <w:t>49.1</w:t>
            </w:r>
          </w:p>
        </w:tc>
        <w:tc>
          <w:tcPr>
            <w:tcW w:w="1203" w:type="dxa"/>
            <w:tcBorders>
              <w:top w:val="single" w:sz="4" w:space="0" w:color="auto"/>
              <w:left w:val="single" w:sz="4" w:space="0" w:color="auto"/>
              <w:bottom w:val="single" w:sz="4" w:space="0" w:color="auto"/>
              <w:right w:val="single" w:sz="4" w:space="0" w:color="auto"/>
            </w:tcBorders>
          </w:tcPr>
          <w:p w14:paraId="644FACC5" w14:textId="77777777" w:rsidR="00204E97" w:rsidRPr="00D9232D" w:rsidRDefault="00204E97" w:rsidP="00AA0A6A">
            <w:pPr>
              <w:spacing w:after="160" w:line="360" w:lineRule="auto"/>
              <w:rPr>
                <w:sz w:val="24"/>
                <w:szCs w:val="24"/>
              </w:rPr>
            </w:pPr>
            <w:r w:rsidRPr="00D9232D">
              <w:rPr>
                <w:sz w:val="24"/>
                <w:szCs w:val="24"/>
              </w:rPr>
              <w:t>73.9</w:t>
            </w:r>
          </w:p>
        </w:tc>
        <w:tc>
          <w:tcPr>
            <w:tcW w:w="1220" w:type="dxa"/>
            <w:tcBorders>
              <w:top w:val="single" w:sz="4" w:space="0" w:color="auto"/>
              <w:left w:val="single" w:sz="4" w:space="0" w:color="auto"/>
              <w:bottom w:val="single" w:sz="4" w:space="0" w:color="auto"/>
              <w:right w:val="single" w:sz="4" w:space="0" w:color="auto"/>
            </w:tcBorders>
          </w:tcPr>
          <w:p w14:paraId="5FA3FFD2" w14:textId="77777777" w:rsidR="00204E97" w:rsidRPr="00D9232D" w:rsidRDefault="00204E97" w:rsidP="00AA0A6A">
            <w:pPr>
              <w:spacing w:after="160" w:line="360" w:lineRule="auto"/>
              <w:rPr>
                <w:sz w:val="24"/>
                <w:szCs w:val="24"/>
              </w:rPr>
            </w:pPr>
            <w:r w:rsidRPr="00D9232D">
              <w:rPr>
                <w:sz w:val="24"/>
                <w:szCs w:val="24"/>
              </w:rPr>
              <w:t>82.9</w:t>
            </w:r>
          </w:p>
        </w:tc>
        <w:tc>
          <w:tcPr>
            <w:tcW w:w="1174" w:type="dxa"/>
            <w:tcBorders>
              <w:top w:val="single" w:sz="4" w:space="0" w:color="auto"/>
              <w:left w:val="single" w:sz="4" w:space="0" w:color="auto"/>
              <w:bottom w:val="single" w:sz="4" w:space="0" w:color="auto"/>
              <w:right w:val="single" w:sz="4" w:space="0" w:color="auto"/>
            </w:tcBorders>
          </w:tcPr>
          <w:p w14:paraId="3199F79A" w14:textId="77777777" w:rsidR="00204E97" w:rsidRPr="00D9232D" w:rsidRDefault="00204E97" w:rsidP="00AA0A6A">
            <w:pPr>
              <w:spacing w:line="360" w:lineRule="auto"/>
              <w:rPr>
                <w:sz w:val="24"/>
                <w:szCs w:val="24"/>
              </w:rPr>
            </w:pPr>
            <w:r w:rsidRPr="00D9232D">
              <w:rPr>
                <w:sz w:val="24"/>
                <w:szCs w:val="24"/>
              </w:rPr>
              <w:t>22.9</w:t>
            </w:r>
          </w:p>
        </w:tc>
      </w:tr>
      <w:tr w:rsidR="00204E97" w:rsidRPr="00D9232D" w14:paraId="1F8079CB"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162072D"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18BA2417" w14:textId="77777777" w:rsidR="00204E97" w:rsidRPr="00D9232D" w:rsidRDefault="00204E97" w:rsidP="00AA0A6A">
            <w:pPr>
              <w:spacing w:after="160" w:line="360" w:lineRule="auto"/>
              <w:rPr>
                <w:sz w:val="24"/>
                <w:szCs w:val="24"/>
              </w:rPr>
            </w:pPr>
            <w:proofErr w:type="spellStart"/>
            <w:r w:rsidRPr="00D9232D">
              <w:rPr>
                <w:sz w:val="24"/>
                <w:szCs w:val="24"/>
              </w:rPr>
              <w:t>Spain</w:t>
            </w:r>
            <w:proofErr w:type="spellEnd"/>
          </w:p>
        </w:tc>
        <w:tc>
          <w:tcPr>
            <w:tcW w:w="1001" w:type="dxa"/>
            <w:tcBorders>
              <w:top w:val="single" w:sz="4" w:space="0" w:color="auto"/>
              <w:left w:val="single" w:sz="4" w:space="0" w:color="auto"/>
              <w:bottom w:val="single" w:sz="4" w:space="0" w:color="auto"/>
              <w:right w:val="single" w:sz="4" w:space="0" w:color="auto"/>
            </w:tcBorders>
          </w:tcPr>
          <w:p w14:paraId="3807388F" w14:textId="77777777" w:rsidR="00204E97" w:rsidRPr="00D9232D" w:rsidRDefault="00204E97" w:rsidP="00AA0A6A">
            <w:pPr>
              <w:spacing w:after="160" w:line="360" w:lineRule="auto"/>
              <w:rPr>
                <w:sz w:val="24"/>
                <w:szCs w:val="24"/>
              </w:rPr>
            </w:pPr>
            <w:r w:rsidRPr="00D9232D">
              <w:rPr>
                <w:sz w:val="24"/>
                <w:szCs w:val="24"/>
              </w:rPr>
              <w:t>30,448</w:t>
            </w:r>
          </w:p>
        </w:tc>
        <w:tc>
          <w:tcPr>
            <w:tcW w:w="936" w:type="dxa"/>
            <w:tcBorders>
              <w:top w:val="single" w:sz="4" w:space="0" w:color="auto"/>
              <w:left w:val="single" w:sz="4" w:space="0" w:color="auto"/>
              <w:bottom w:val="single" w:sz="4" w:space="0" w:color="auto"/>
              <w:right w:val="single" w:sz="4" w:space="0" w:color="auto"/>
            </w:tcBorders>
          </w:tcPr>
          <w:p w14:paraId="08119441" w14:textId="77777777" w:rsidR="00204E97" w:rsidRPr="00D9232D" w:rsidRDefault="00204E97" w:rsidP="00AA0A6A">
            <w:pPr>
              <w:spacing w:after="160" w:line="360" w:lineRule="auto"/>
              <w:rPr>
                <w:sz w:val="24"/>
                <w:szCs w:val="24"/>
              </w:rPr>
            </w:pPr>
            <w:r w:rsidRPr="00D9232D">
              <w:rPr>
                <w:sz w:val="24"/>
                <w:szCs w:val="24"/>
              </w:rPr>
              <w:t>50.7</w:t>
            </w:r>
          </w:p>
        </w:tc>
        <w:tc>
          <w:tcPr>
            <w:tcW w:w="1203" w:type="dxa"/>
            <w:tcBorders>
              <w:top w:val="single" w:sz="4" w:space="0" w:color="auto"/>
              <w:left w:val="single" w:sz="4" w:space="0" w:color="auto"/>
              <w:bottom w:val="single" w:sz="4" w:space="0" w:color="auto"/>
              <w:right w:val="single" w:sz="4" w:space="0" w:color="auto"/>
            </w:tcBorders>
          </w:tcPr>
          <w:p w14:paraId="25712DF9" w14:textId="77777777" w:rsidR="00204E97" w:rsidRPr="00D9232D" w:rsidRDefault="00204E97" w:rsidP="00AA0A6A">
            <w:pPr>
              <w:spacing w:after="160" w:line="360" w:lineRule="auto"/>
              <w:rPr>
                <w:sz w:val="24"/>
                <w:szCs w:val="24"/>
              </w:rPr>
            </w:pPr>
            <w:r w:rsidRPr="00D9232D">
              <w:rPr>
                <w:sz w:val="24"/>
                <w:szCs w:val="24"/>
              </w:rPr>
              <w:t>71.6</w:t>
            </w:r>
          </w:p>
        </w:tc>
        <w:tc>
          <w:tcPr>
            <w:tcW w:w="1220" w:type="dxa"/>
            <w:tcBorders>
              <w:top w:val="single" w:sz="4" w:space="0" w:color="auto"/>
              <w:left w:val="single" w:sz="4" w:space="0" w:color="auto"/>
              <w:bottom w:val="single" w:sz="4" w:space="0" w:color="auto"/>
              <w:right w:val="single" w:sz="4" w:space="0" w:color="auto"/>
            </w:tcBorders>
          </w:tcPr>
          <w:p w14:paraId="01FD7151" w14:textId="77777777" w:rsidR="00204E97" w:rsidRPr="00D9232D" w:rsidRDefault="00204E97" w:rsidP="00AA0A6A">
            <w:pPr>
              <w:spacing w:after="160" w:line="360" w:lineRule="auto"/>
              <w:rPr>
                <w:sz w:val="24"/>
                <w:szCs w:val="24"/>
              </w:rPr>
            </w:pPr>
            <w:r w:rsidRPr="00D9232D">
              <w:rPr>
                <w:sz w:val="24"/>
                <w:szCs w:val="24"/>
              </w:rPr>
              <w:t>83.4</w:t>
            </w:r>
          </w:p>
        </w:tc>
        <w:tc>
          <w:tcPr>
            <w:tcW w:w="1174" w:type="dxa"/>
            <w:tcBorders>
              <w:top w:val="single" w:sz="4" w:space="0" w:color="auto"/>
              <w:left w:val="single" w:sz="4" w:space="0" w:color="auto"/>
              <w:bottom w:val="single" w:sz="4" w:space="0" w:color="auto"/>
              <w:right w:val="single" w:sz="4" w:space="0" w:color="auto"/>
            </w:tcBorders>
          </w:tcPr>
          <w:p w14:paraId="72F0EB51" w14:textId="77777777" w:rsidR="00204E97" w:rsidRPr="00D9232D" w:rsidRDefault="00204E97" w:rsidP="00AA0A6A">
            <w:pPr>
              <w:spacing w:line="360" w:lineRule="auto"/>
              <w:rPr>
                <w:sz w:val="24"/>
                <w:szCs w:val="24"/>
              </w:rPr>
            </w:pPr>
            <w:r w:rsidRPr="00D9232D">
              <w:rPr>
                <w:sz w:val="24"/>
                <w:szCs w:val="24"/>
              </w:rPr>
              <w:t>16.5</w:t>
            </w:r>
          </w:p>
        </w:tc>
      </w:tr>
      <w:tr w:rsidR="00204E97" w:rsidRPr="00D9232D" w14:paraId="5E0836ED"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1ECD126D"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C48A37C" w14:textId="77777777" w:rsidR="00204E97" w:rsidRPr="00D9232D" w:rsidRDefault="00204E97" w:rsidP="00AA0A6A">
            <w:pPr>
              <w:spacing w:after="160" w:line="360" w:lineRule="auto"/>
              <w:rPr>
                <w:sz w:val="24"/>
                <w:szCs w:val="24"/>
              </w:rPr>
            </w:pPr>
            <w:proofErr w:type="spellStart"/>
            <w:r w:rsidRPr="00D9232D">
              <w:rPr>
                <w:sz w:val="24"/>
                <w:szCs w:val="24"/>
              </w:rPr>
              <w:t>Sweden</w:t>
            </w:r>
            <w:proofErr w:type="spellEnd"/>
          </w:p>
        </w:tc>
        <w:tc>
          <w:tcPr>
            <w:tcW w:w="1001" w:type="dxa"/>
            <w:tcBorders>
              <w:top w:val="single" w:sz="4" w:space="0" w:color="auto"/>
              <w:left w:val="single" w:sz="4" w:space="0" w:color="auto"/>
              <w:bottom w:val="single" w:sz="4" w:space="0" w:color="auto"/>
              <w:right w:val="single" w:sz="4" w:space="0" w:color="auto"/>
            </w:tcBorders>
          </w:tcPr>
          <w:p w14:paraId="49B49540" w14:textId="77777777" w:rsidR="00204E97" w:rsidRPr="00D9232D" w:rsidRDefault="00204E97" w:rsidP="00AA0A6A">
            <w:pPr>
              <w:spacing w:after="160" w:line="360" w:lineRule="auto"/>
              <w:rPr>
                <w:sz w:val="24"/>
                <w:szCs w:val="24"/>
              </w:rPr>
            </w:pPr>
            <w:r w:rsidRPr="00D9232D">
              <w:rPr>
                <w:sz w:val="24"/>
                <w:szCs w:val="24"/>
              </w:rPr>
              <w:t>4,580</w:t>
            </w:r>
          </w:p>
        </w:tc>
        <w:tc>
          <w:tcPr>
            <w:tcW w:w="936" w:type="dxa"/>
            <w:tcBorders>
              <w:top w:val="single" w:sz="4" w:space="0" w:color="auto"/>
              <w:left w:val="single" w:sz="4" w:space="0" w:color="auto"/>
              <w:bottom w:val="single" w:sz="4" w:space="0" w:color="auto"/>
              <w:right w:val="single" w:sz="4" w:space="0" w:color="auto"/>
            </w:tcBorders>
          </w:tcPr>
          <w:p w14:paraId="2FCEA3D9" w14:textId="77777777" w:rsidR="00204E97" w:rsidRPr="00D9232D" w:rsidRDefault="00204E97" w:rsidP="00AA0A6A">
            <w:pPr>
              <w:spacing w:after="160" w:line="360" w:lineRule="auto"/>
              <w:rPr>
                <w:sz w:val="24"/>
                <w:szCs w:val="24"/>
              </w:rPr>
            </w:pPr>
            <w:r w:rsidRPr="00D9232D">
              <w:rPr>
                <w:sz w:val="24"/>
                <w:szCs w:val="24"/>
              </w:rPr>
              <w:t>51.9</w:t>
            </w:r>
          </w:p>
        </w:tc>
        <w:tc>
          <w:tcPr>
            <w:tcW w:w="1203" w:type="dxa"/>
            <w:tcBorders>
              <w:top w:val="single" w:sz="4" w:space="0" w:color="auto"/>
              <w:left w:val="single" w:sz="4" w:space="0" w:color="auto"/>
              <w:bottom w:val="single" w:sz="4" w:space="0" w:color="auto"/>
              <w:right w:val="single" w:sz="4" w:space="0" w:color="auto"/>
            </w:tcBorders>
          </w:tcPr>
          <w:p w14:paraId="25708F61" w14:textId="77777777" w:rsidR="00204E97" w:rsidRPr="00D9232D" w:rsidRDefault="00204E97" w:rsidP="00AA0A6A">
            <w:pPr>
              <w:spacing w:after="160" w:line="360" w:lineRule="auto"/>
              <w:rPr>
                <w:sz w:val="24"/>
                <w:szCs w:val="24"/>
              </w:rPr>
            </w:pPr>
            <w:r w:rsidRPr="00D9232D">
              <w:rPr>
                <w:sz w:val="24"/>
                <w:szCs w:val="24"/>
              </w:rPr>
              <w:t>85.4</w:t>
            </w:r>
          </w:p>
        </w:tc>
        <w:tc>
          <w:tcPr>
            <w:tcW w:w="1220" w:type="dxa"/>
            <w:tcBorders>
              <w:top w:val="single" w:sz="4" w:space="0" w:color="auto"/>
              <w:left w:val="single" w:sz="4" w:space="0" w:color="auto"/>
              <w:bottom w:val="single" w:sz="4" w:space="0" w:color="auto"/>
              <w:right w:val="single" w:sz="4" w:space="0" w:color="auto"/>
            </w:tcBorders>
          </w:tcPr>
          <w:p w14:paraId="6A394404" w14:textId="77777777" w:rsidR="00204E97" w:rsidRPr="00D9232D" w:rsidRDefault="00204E97" w:rsidP="00AA0A6A">
            <w:pPr>
              <w:spacing w:after="160" w:line="360" w:lineRule="auto"/>
              <w:rPr>
                <w:sz w:val="24"/>
                <w:szCs w:val="24"/>
              </w:rPr>
            </w:pPr>
            <w:r w:rsidRPr="00D9232D">
              <w:rPr>
                <w:sz w:val="24"/>
                <w:szCs w:val="24"/>
              </w:rPr>
              <w:t>91.8</w:t>
            </w:r>
          </w:p>
        </w:tc>
        <w:tc>
          <w:tcPr>
            <w:tcW w:w="1174" w:type="dxa"/>
            <w:tcBorders>
              <w:top w:val="single" w:sz="4" w:space="0" w:color="auto"/>
              <w:left w:val="single" w:sz="4" w:space="0" w:color="auto"/>
              <w:bottom w:val="single" w:sz="4" w:space="0" w:color="auto"/>
              <w:right w:val="single" w:sz="4" w:space="0" w:color="auto"/>
            </w:tcBorders>
          </w:tcPr>
          <w:p w14:paraId="31F34E1B" w14:textId="77777777" w:rsidR="00204E97" w:rsidRPr="00D9232D" w:rsidRDefault="00204E97" w:rsidP="00AA0A6A">
            <w:pPr>
              <w:spacing w:line="360" w:lineRule="auto"/>
              <w:rPr>
                <w:sz w:val="24"/>
                <w:szCs w:val="24"/>
              </w:rPr>
            </w:pPr>
            <w:r w:rsidRPr="00D9232D">
              <w:rPr>
                <w:sz w:val="24"/>
                <w:szCs w:val="24"/>
              </w:rPr>
              <w:t>52.1</w:t>
            </w:r>
          </w:p>
        </w:tc>
      </w:tr>
      <w:tr w:rsidR="00204E97" w:rsidRPr="00D9232D" w14:paraId="5A78BA43"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C30091F"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59DAE119" w14:textId="77777777" w:rsidR="00204E97" w:rsidRPr="00D9232D" w:rsidRDefault="00204E97" w:rsidP="00AA0A6A">
            <w:pPr>
              <w:spacing w:after="160" w:line="360" w:lineRule="auto"/>
              <w:rPr>
                <w:sz w:val="24"/>
                <w:szCs w:val="24"/>
              </w:rPr>
            </w:pPr>
            <w:proofErr w:type="spellStart"/>
            <w:r w:rsidRPr="00D9232D">
              <w:rPr>
                <w:sz w:val="24"/>
                <w:szCs w:val="24"/>
              </w:rPr>
              <w:t>Switzerland</w:t>
            </w:r>
            <w:proofErr w:type="spellEnd"/>
          </w:p>
        </w:tc>
        <w:tc>
          <w:tcPr>
            <w:tcW w:w="1001" w:type="dxa"/>
            <w:tcBorders>
              <w:top w:val="single" w:sz="4" w:space="0" w:color="auto"/>
              <w:left w:val="single" w:sz="4" w:space="0" w:color="auto"/>
              <w:bottom w:val="single" w:sz="4" w:space="0" w:color="auto"/>
              <w:right w:val="single" w:sz="4" w:space="0" w:color="auto"/>
            </w:tcBorders>
          </w:tcPr>
          <w:p w14:paraId="3CFA5938" w14:textId="77777777" w:rsidR="00204E97" w:rsidRPr="00D9232D" w:rsidRDefault="00204E97" w:rsidP="00AA0A6A">
            <w:pPr>
              <w:spacing w:after="160" w:line="360" w:lineRule="auto"/>
              <w:rPr>
                <w:sz w:val="24"/>
                <w:szCs w:val="24"/>
              </w:rPr>
            </w:pPr>
            <w:r w:rsidRPr="00D9232D">
              <w:rPr>
                <w:sz w:val="24"/>
                <w:szCs w:val="24"/>
              </w:rPr>
              <w:t>5,035</w:t>
            </w:r>
          </w:p>
        </w:tc>
        <w:tc>
          <w:tcPr>
            <w:tcW w:w="936" w:type="dxa"/>
            <w:tcBorders>
              <w:top w:val="single" w:sz="4" w:space="0" w:color="auto"/>
              <w:left w:val="single" w:sz="4" w:space="0" w:color="auto"/>
              <w:bottom w:val="single" w:sz="4" w:space="0" w:color="auto"/>
              <w:right w:val="single" w:sz="4" w:space="0" w:color="auto"/>
            </w:tcBorders>
          </w:tcPr>
          <w:p w14:paraId="6B3D8AB7" w14:textId="77777777" w:rsidR="00204E97" w:rsidRPr="00D9232D" w:rsidRDefault="00204E97" w:rsidP="00AA0A6A">
            <w:pPr>
              <w:spacing w:after="160" w:line="360" w:lineRule="auto"/>
              <w:rPr>
                <w:sz w:val="24"/>
                <w:szCs w:val="24"/>
              </w:rPr>
            </w:pPr>
            <w:r w:rsidRPr="00D9232D">
              <w:rPr>
                <w:sz w:val="24"/>
                <w:szCs w:val="24"/>
              </w:rPr>
              <w:t>48.5</w:t>
            </w:r>
          </w:p>
        </w:tc>
        <w:tc>
          <w:tcPr>
            <w:tcW w:w="1203" w:type="dxa"/>
            <w:tcBorders>
              <w:top w:val="single" w:sz="4" w:space="0" w:color="auto"/>
              <w:left w:val="single" w:sz="4" w:space="0" w:color="auto"/>
              <w:bottom w:val="single" w:sz="4" w:space="0" w:color="auto"/>
              <w:right w:val="single" w:sz="4" w:space="0" w:color="auto"/>
            </w:tcBorders>
          </w:tcPr>
          <w:p w14:paraId="32FF725C" w14:textId="77777777" w:rsidR="00204E97" w:rsidRPr="00D9232D" w:rsidRDefault="00204E97" w:rsidP="00AA0A6A">
            <w:pPr>
              <w:spacing w:after="160" w:line="360" w:lineRule="auto"/>
              <w:rPr>
                <w:sz w:val="24"/>
                <w:szCs w:val="24"/>
              </w:rPr>
            </w:pPr>
            <w:r w:rsidRPr="00D9232D">
              <w:rPr>
                <w:sz w:val="24"/>
                <w:szCs w:val="24"/>
              </w:rPr>
              <w:t>64.4</w:t>
            </w:r>
          </w:p>
        </w:tc>
        <w:tc>
          <w:tcPr>
            <w:tcW w:w="1220" w:type="dxa"/>
            <w:tcBorders>
              <w:top w:val="single" w:sz="4" w:space="0" w:color="auto"/>
              <w:left w:val="single" w:sz="4" w:space="0" w:color="auto"/>
              <w:bottom w:val="single" w:sz="4" w:space="0" w:color="auto"/>
              <w:right w:val="single" w:sz="4" w:space="0" w:color="auto"/>
            </w:tcBorders>
          </w:tcPr>
          <w:p w14:paraId="0CD31236" w14:textId="77777777" w:rsidR="00204E97" w:rsidRPr="00D9232D" w:rsidRDefault="00204E97" w:rsidP="00AA0A6A">
            <w:pPr>
              <w:spacing w:after="160" w:line="360" w:lineRule="auto"/>
              <w:rPr>
                <w:sz w:val="24"/>
                <w:szCs w:val="24"/>
              </w:rPr>
            </w:pPr>
            <w:r w:rsidRPr="00D9232D">
              <w:rPr>
                <w:sz w:val="24"/>
                <w:szCs w:val="24"/>
              </w:rPr>
              <w:t>76.0</w:t>
            </w:r>
          </w:p>
        </w:tc>
        <w:tc>
          <w:tcPr>
            <w:tcW w:w="1174" w:type="dxa"/>
            <w:tcBorders>
              <w:top w:val="single" w:sz="4" w:space="0" w:color="auto"/>
              <w:left w:val="single" w:sz="4" w:space="0" w:color="auto"/>
              <w:bottom w:val="single" w:sz="4" w:space="0" w:color="auto"/>
              <w:right w:val="single" w:sz="4" w:space="0" w:color="auto"/>
            </w:tcBorders>
          </w:tcPr>
          <w:p w14:paraId="186E4C7B" w14:textId="77777777" w:rsidR="00204E97" w:rsidRPr="00D9232D" w:rsidRDefault="00204E97" w:rsidP="00AA0A6A">
            <w:pPr>
              <w:spacing w:line="360" w:lineRule="auto"/>
              <w:rPr>
                <w:sz w:val="24"/>
                <w:szCs w:val="24"/>
              </w:rPr>
            </w:pPr>
            <w:r w:rsidRPr="00D9232D">
              <w:rPr>
                <w:sz w:val="24"/>
                <w:szCs w:val="24"/>
              </w:rPr>
              <w:t>17.5</w:t>
            </w:r>
          </w:p>
        </w:tc>
      </w:tr>
      <w:tr w:rsidR="00204E97" w:rsidRPr="00D9232D" w14:paraId="581B96ED"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648E834A"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4A4F9DC0" w14:textId="77777777" w:rsidR="00204E97" w:rsidRPr="00D9232D" w:rsidRDefault="00204E97" w:rsidP="00AA0A6A">
            <w:pPr>
              <w:spacing w:after="160" w:line="360" w:lineRule="auto"/>
              <w:rPr>
                <w:sz w:val="24"/>
                <w:szCs w:val="24"/>
              </w:rPr>
            </w:pPr>
            <w:proofErr w:type="spellStart"/>
            <w:r w:rsidRPr="00D9232D">
              <w:rPr>
                <w:sz w:val="24"/>
                <w:szCs w:val="24"/>
              </w:rPr>
              <w:t>United</w:t>
            </w:r>
            <w:proofErr w:type="spellEnd"/>
            <w:r w:rsidRPr="00D9232D">
              <w:rPr>
                <w:sz w:val="24"/>
                <w:szCs w:val="24"/>
              </w:rPr>
              <w:t xml:space="preserve"> </w:t>
            </w:r>
            <w:proofErr w:type="spellStart"/>
            <w:r w:rsidRPr="00D9232D">
              <w:rPr>
                <w:sz w:val="24"/>
                <w:szCs w:val="24"/>
              </w:rPr>
              <w:t>Kingdom</w:t>
            </w:r>
            <w:proofErr w:type="spellEnd"/>
          </w:p>
        </w:tc>
        <w:tc>
          <w:tcPr>
            <w:tcW w:w="1001" w:type="dxa"/>
            <w:tcBorders>
              <w:top w:val="single" w:sz="4" w:space="0" w:color="auto"/>
              <w:left w:val="single" w:sz="4" w:space="0" w:color="auto"/>
              <w:bottom w:val="single" w:sz="4" w:space="0" w:color="auto"/>
              <w:right w:val="single" w:sz="4" w:space="0" w:color="auto"/>
            </w:tcBorders>
          </w:tcPr>
          <w:p w14:paraId="6B63AFDB" w14:textId="77777777" w:rsidR="00204E97" w:rsidRPr="00D9232D" w:rsidRDefault="00204E97" w:rsidP="00AA0A6A">
            <w:pPr>
              <w:spacing w:after="160" w:line="360" w:lineRule="auto"/>
              <w:rPr>
                <w:sz w:val="24"/>
                <w:szCs w:val="24"/>
              </w:rPr>
            </w:pPr>
            <w:r w:rsidRPr="00D9232D">
              <w:rPr>
                <w:sz w:val="24"/>
                <w:szCs w:val="24"/>
              </w:rPr>
              <w:t>6,787</w:t>
            </w:r>
          </w:p>
        </w:tc>
        <w:tc>
          <w:tcPr>
            <w:tcW w:w="936" w:type="dxa"/>
            <w:tcBorders>
              <w:top w:val="single" w:sz="4" w:space="0" w:color="auto"/>
              <w:left w:val="single" w:sz="4" w:space="0" w:color="auto"/>
              <w:bottom w:val="single" w:sz="4" w:space="0" w:color="auto"/>
              <w:right w:val="single" w:sz="4" w:space="0" w:color="auto"/>
            </w:tcBorders>
          </w:tcPr>
          <w:p w14:paraId="6A5E4DFB" w14:textId="77777777" w:rsidR="00204E97" w:rsidRPr="00D9232D" w:rsidRDefault="00204E97" w:rsidP="00AA0A6A">
            <w:pPr>
              <w:spacing w:after="160" w:line="360" w:lineRule="auto"/>
              <w:rPr>
                <w:sz w:val="24"/>
                <w:szCs w:val="24"/>
              </w:rPr>
            </w:pPr>
            <w:r w:rsidRPr="00D9232D">
              <w:rPr>
                <w:sz w:val="24"/>
                <w:szCs w:val="24"/>
              </w:rPr>
              <w:t>51.5</w:t>
            </w:r>
          </w:p>
        </w:tc>
        <w:tc>
          <w:tcPr>
            <w:tcW w:w="1203" w:type="dxa"/>
            <w:tcBorders>
              <w:top w:val="single" w:sz="4" w:space="0" w:color="auto"/>
              <w:left w:val="single" w:sz="4" w:space="0" w:color="auto"/>
              <w:bottom w:val="single" w:sz="4" w:space="0" w:color="auto"/>
              <w:right w:val="single" w:sz="4" w:space="0" w:color="auto"/>
            </w:tcBorders>
          </w:tcPr>
          <w:p w14:paraId="3EE285E7" w14:textId="77777777" w:rsidR="00204E97" w:rsidRPr="00D9232D" w:rsidRDefault="00204E97" w:rsidP="00AA0A6A">
            <w:pPr>
              <w:spacing w:after="160" w:line="360" w:lineRule="auto"/>
              <w:rPr>
                <w:sz w:val="24"/>
                <w:szCs w:val="24"/>
              </w:rPr>
            </w:pPr>
            <w:r w:rsidRPr="00D9232D">
              <w:rPr>
                <w:sz w:val="24"/>
                <w:szCs w:val="24"/>
              </w:rPr>
              <w:t>81.2</w:t>
            </w:r>
          </w:p>
        </w:tc>
        <w:tc>
          <w:tcPr>
            <w:tcW w:w="1220" w:type="dxa"/>
            <w:tcBorders>
              <w:top w:val="single" w:sz="4" w:space="0" w:color="auto"/>
              <w:left w:val="single" w:sz="4" w:space="0" w:color="auto"/>
              <w:bottom w:val="single" w:sz="4" w:space="0" w:color="auto"/>
              <w:right w:val="single" w:sz="4" w:space="0" w:color="auto"/>
            </w:tcBorders>
          </w:tcPr>
          <w:p w14:paraId="1337C217" w14:textId="77777777" w:rsidR="00204E97" w:rsidRPr="00D9232D" w:rsidRDefault="00204E97" w:rsidP="00AA0A6A">
            <w:pPr>
              <w:spacing w:after="160" w:line="360" w:lineRule="auto"/>
              <w:rPr>
                <w:sz w:val="24"/>
                <w:szCs w:val="24"/>
              </w:rPr>
            </w:pPr>
            <w:r w:rsidRPr="00D9232D">
              <w:rPr>
                <w:sz w:val="24"/>
                <w:szCs w:val="24"/>
              </w:rPr>
              <w:t>89.4</w:t>
            </w:r>
          </w:p>
        </w:tc>
        <w:tc>
          <w:tcPr>
            <w:tcW w:w="1174" w:type="dxa"/>
            <w:tcBorders>
              <w:top w:val="single" w:sz="4" w:space="0" w:color="auto"/>
              <w:left w:val="single" w:sz="4" w:space="0" w:color="auto"/>
              <w:bottom w:val="single" w:sz="4" w:space="0" w:color="auto"/>
              <w:right w:val="single" w:sz="4" w:space="0" w:color="auto"/>
            </w:tcBorders>
          </w:tcPr>
          <w:p w14:paraId="5D1DB7A8" w14:textId="77777777" w:rsidR="00204E97" w:rsidRPr="00D9232D" w:rsidRDefault="00204E97" w:rsidP="00AA0A6A">
            <w:pPr>
              <w:spacing w:line="360" w:lineRule="auto"/>
              <w:rPr>
                <w:sz w:val="24"/>
                <w:szCs w:val="24"/>
              </w:rPr>
            </w:pPr>
            <w:r w:rsidRPr="00D9232D">
              <w:rPr>
                <w:sz w:val="24"/>
                <w:szCs w:val="24"/>
              </w:rPr>
              <w:t>15.0</w:t>
            </w:r>
          </w:p>
        </w:tc>
      </w:tr>
      <w:tr w:rsidR="00204E97" w:rsidRPr="00D9232D" w14:paraId="60B4209F"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579D558" w14:textId="77777777" w:rsidR="00204E97" w:rsidRPr="00D9232D" w:rsidRDefault="00204E97" w:rsidP="00AA0A6A">
            <w:pPr>
              <w:spacing w:after="160" w:line="360" w:lineRule="auto"/>
              <w:rPr>
                <w:sz w:val="24"/>
                <w:szCs w:val="24"/>
              </w:rPr>
            </w:pPr>
            <w:proofErr w:type="spellStart"/>
            <w:r w:rsidRPr="00D9232D">
              <w:rPr>
                <w:sz w:val="24"/>
                <w:szCs w:val="24"/>
              </w:rPr>
              <w:t>Europe</w:t>
            </w:r>
            <w:proofErr w:type="spellEnd"/>
            <w:r w:rsidRPr="00D9232D">
              <w:rPr>
                <w:sz w:val="24"/>
                <w:szCs w:val="24"/>
              </w:rPr>
              <w:t xml:space="preserve"> B/C</w:t>
            </w:r>
          </w:p>
        </w:tc>
        <w:tc>
          <w:tcPr>
            <w:tcW w:w="1426" w:type="dxa"/>
            <w:tcBorders>
              <w:top w:val="single" w:sz="4" w:space="0" w:color="auto"/>
              <w:left w:val="single" w:sz="4" w:space="0" w:color="auto"/>
              <w:bottom w:val="single" w:sz="4" w:space="0" w:color="auto"/>
              <w:right w:val="single" w:sz="4" w:space="0" w:color="auto"/>
            </w:tcBorders>
          </w:tcPr>
          <w:p w14:paraId="1DFA633E" w14:textId="77777777" w:rsidR="00204E97" w:rsidRPr="00D9232D" w:rsidRDefault="00204E97" w:rsidP="00AA0A6A">
            <w:pPr>
              <w:spacing w:after="160" w:line="360" w:lineRule="auto"/>
              <w:rPr>
                <w:sz w:val="24"/>
                <w:szCs w:val="24"/>
              </w:rPr>
            </w:pPr>
            <w:r w:rsidRPr="00D9232D">
              <w:rPr>
                <w:sz w:val="24"/>
                <w:szCs w:val="24"/>
              </w:rPr>
              <w:t>Bulgaria</w:t>
            </w:r>
          </w:p>
        </w:tc>
        <w:tc>
          <w:tcPr>
            <w:tcW w:w="1001" w:type="dxa"/>
            <w:tcBorders>
              <w:top w:val="single" w:sz="4" w:space="0" w:color="auto"/>
              <w:left w:val="single" w:sz="4" w:space="0" w:color="auto"/>
              <w:bottom w:val="single" w:sz="4" w:space="0" w:color="auto"/>
              <w:right w:val="single" w:sz="4" w:space="0" w:color="auto"/>
            </w:tcBorders>
          </w:tcPr>
          <w:p w14:paraId="29BE05EF" w14:textId="77777777" w:rsidR="00204E97" w:rsidRPr="00D9232D" w:rsidRDefault="00204E97" w:rsidP="00AA0A6A">
            <w:pPr>
              <w:spacing w:after="160" w:line="360" w:lineRule="auto"/>
              <w:rPr>
                <w:sz w:val="24"/>
                <w:szCs w:val="24"/>
              </w:rPr>
            </w:pPr>
            <w:r w:rsidRPr="00D9232D">
              <w:rPr>
                <w:sz w:val="24"/>
                <w:szCs w:val="24"/>
              </w:rPr>
              <w:t>3,638</w:t>
            </w:r>
          </w:p>
        </w:tc>
        <w:tc>
          <w:tcPr>
            <w:tcW w:w="936" w:type="dxa"/>
            <w:tcBorders>
              <w:top w:val="single" w:sz="4" w:space="0" w:color="auto"/>
              <w:left w:val="single" w:sz="4" w:space="0" w:color="auto"/>
              <w:bottom w:val="single" w:sz="4" w:space="0" w:color="auto"/>
              <w:right w:val="single" w:sz="4" w:space="0" w:color="auto"/>
            </w:tcBorders>
          </w:tcPr>
          <w:p w14:paraId="79F67571" w14:textId="77777777" w:rsidR="00204E97" w:rsidRPr="00D9232D" w:rsidRDefault="00204E97" w:rsidP="00AA0A6A">
            <w:pPr>
              <w:spacing w:after="160" w:line="360" w:lineRule="auto"/>
              <w:rPr>
                <w:sz w:val="24"/>
                <w:szCs w:val="24"/>
              </w:rPr>
            </w:pPr>
            <w:r w:rsidRPr="00D9232D">
              <w:rPr>
                <w:sz w:val="24"/>
                <w:szCs w:val="24"/>
              </w:rPr>
              <w:t>50.8</w:t>
            </w:r>
          </w:p>
        </w:tc>
        <w:tc>
          <w:tcPr>
            <w:tcW w:w="1203" w:type="dxa"/>
            <w:tcBorders>
              <w:top w:val="single" w:sz="4" w:space="0" w:color="auto"/>
              <w:left w:val="single" w:sz="4" w:space="0" w:color="auto"/>
              <w:bottom w:val="single" w:sz="4" w:space="0" w:color="auto"/>
              <w:right w:val="single" w:sz="4" w:space="0" w:color="auto"/>
            </w:tcBorders>
          </w:tcPr>
          <w:p w14:paraId="7F046529" w14:textId="77777777" w:rsidR="00204E97" w:rsidRPr="00D9232D" w:rsidRDefault="00204E97" w:rsidP="00AA0A6A">
            <w:pPr>
              <w:spacing w:after="160" w:line="360" w:lineRule="auto"/>
              <w:rPr>
                <w:sz w:val="24"/>
                <w:szCs w:val="24"/>
              </w:rPr>
            </w:pPr>
            <w:r w:rsidRPr="00D9232D">
              <w:rPr>
                <w:sz w:val="24"/>
                <w:szCs w:val="24"/>
              </w:rPr>
              <w:t>71.5</w:t>
            </w:r>
          </w:p>
        </w:tc>
        <w:tc>
          <w:tcPr>
            <w:tcW w:w="1220" w:type="dxa"/>
            <w:tcBorders>
              <w:top w:val="single" w:sz="4" w:space="0" w:color="auto"/>
              <w:left w:val="single" w:sz="4" w:space="0" w:color="auto"/>
              <w:bottom w:val="single" w:sz="4" w:space="0" w:color="auto"/>
              <w:right w:val="single" w:sz="4" w:space="0" w:color="auto"/>
            </w:tcBorders>
          </w:tcPr>
          <w:p w14:paraId="66A9D280" w14:textId="77777777" w:rsidR="00204E97" w:rsidRPr="00D9232D" w:rsidRDefault="00204E97" w:rsidP="00AA0A6A">
            <w:pPr>
              <w:spacing w:after="160" w:line="360" w:lineRule="auto"/>
              <w:rPr>
                <w:sz w:val="24"/>
                <w:szCs w:val="24"/>
              </w:rPr>
            </w:pPr>
            <w:r w:rsidRPr="00D9232D">
              <w:rPr>
                <w:sz w:val="24"/>
                <w:szCs w:val="24"/>
              </w:rPr>
              <w:t>76.0</w:t>
            </w:r>
          </w:p>
        </w:tc>
        <w:tc>
          <w:tcPr>
            <w:tcW w:w="1174" w:type="dxa"/>
            <w:tcBorders>
              <w:top w:val="single" w:sz="4" w:space="0" w:color="auto"/>
              <w:left w:val="single" w:sz="4" w:space="0" w:color="auto"/>
              <w:bottom w:val="single" w:sz="4" w:space="0" w:color="auto"/>
              <w:right w:val="single" w:sz="4" w:space="0" w:color="auto"/>
            </w:tcBorders>
          </w:tcPr>
          <w:p w14:paraId="1BFD550A" w14:textId="77777777" w:rsidR="00204E97" w:rsidRPr="00D9232D" w:rsidRDefault="00204E97" w:rsidP="00AA0A6A">
            <w:pPr>
              <w:spacing w:line="360" w:lineRule="auto"/>
              <w:rPr>
                <w:sz w:val="24"/>
                <w:szCs w:val="24"/>
              </w:rPr>
            </w:pPr>
            <w:r w:rsidRPr="00D9232D">
              <w:rPr>
                <w:sz w:val="24"/>
                <w:szCs w:val="24"/>
              </w:rPr>
              <w:t>36.0</w:t>
            </w:r>
          </w:p>
        </w:tc>
      </w:tr>
      <w:tr w:rsidR="00204E97" w:rsidRPr="00D9232D" w14:paraId="7D3192C0"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954523E"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2E4169A" w14:textId="77777777" w:rsidR="00204E97" w:rsidRPr="00D9232D" w:rsidRDefault="00204E97" w:rsidP="00AA0A6A">
            <w:pPr>
              <w:spacing w:after="160" w:line="360" w:lineRule="auto"/>
              <w:rPr>
                <w:sz w:val="24"/>
                <w:szCs w:val="24"/>
              </w:rPr>
            </w:pPr>
            <w:proofErr w:type="spellStart"/>
            <w:r w:rsidRPr="00D9232D">
              <w:rPr>
                <w:sz w:val="24"/>
                <w:szCs w:val="24"/>
              </w:rPr>
              <w:t>Czech</w:t>
            </w:r>
            <w:proofErr w:type="spellEnd"/>
            <w:r w:rsidRPr="00D9232D">
              <w:rPr>
                <w:sz w:val="24"/>
                <w:szCs w:val="24"/>
              </w:rPr>
              <w:t xml:space="preserve"> </w:t>
            </w:r>
            <w:proofErr w:type="spellStart"/>
            <w:r w:rsidRPr="00D9232D">
              <w:rPr>
                <w:sz w:val="24"/>
                <w:szCs w:val="24"/>
              </w:rPr>
              <w:t>Republic</w:t>
            </w:r>
            <w:proofErr w:type="spellEnd"/>
          </w:p>
        </w:tc>
        <w:tc>
          <w:tcPr>
            <w:tcW w:w="1001" w:type="dxa"/>
            <w:tcBorders>
              <w:top w:val="single" w:sz="4" w:space="0" w:color="auto"/>
              <w:left w:val="single" w:sz="4" w:space="0" w:color="auto"/>
              <w:bottom w:val="single" w:sz="4" w:space="0" w:color="auto"/>
              <w:right w:val="single" w:sz="4" w:space="0" w:color="auto"/>
            </w:tcBorders>
          </w:tcPr>
          <w:p w14:paraId="7343D202" w14:textId="77777777" w:rsidR="00204E97" w:rsidRPr="00D9232D" w:rsidRDefault="00204E97" w:rsidP="00AA0A6A">
            <w:pPr>
              <w:spacing w:after="160" w:line="360" w:lineRule="auto"/>
              <w:rPr>
                <w:sz w:val="24"/>
                <w:szCs w:val="24"/>
              </w:rPr>
            </w:pPr>
            <w:r w:rsidRPr="00D9232D">
              <w:rPr>
                <w:sz w:val="24"/>
                <w:szCs w:val="24"/>
              </w:rPr>
              <w:t>6,124</w:t>
            </w:r>
          </w:p>
        </w:tc>
        <w:tc>
          <w:tcPr>
            <w:tcW w:w="936" w:type="dxa"/>
            <w:tcBorders>
              <w:top w:val="single" w:sz="4" w:space="0" w:color="auto"/>
              <w:left w:val="single" w:sz="4" w:space="0" w:color="auto"/>
              <w:bottom w:val="single" w:sz="4" w:space="0" w:color="auto"/>
              <w:right w:val="single" w:sz="4" w:space="0" w:color="auto"/>
            </w:tcBorders>
          </w:tcPr>
          <w:p w14:paraId="0BDC7C2F" w14:textId="77777777" w:rsidR="00204E97" w:rsidRPr="00D9232D" w:rsidRDefault="00204E97" w:rsidP="00AA0A6A">
            <w:pPr>
              <w:spacing w:after="160" w:line="360" w:lineRule="auto"/>
              <w:rPr>
                <w:sz w:val="24"/>
                <w:szCs w:val="24"/>
              </w:rPr>
            </w:pPr>
            <w:r w:rsidRPr="00D9232D">
              <w:rPr>
                <w:sz w:val="24"/>
                <w:szCs w:val="24"/>
              </w:rPr>
              <w:t>50.7</w:t>
            </w:r>
          </w:p>
        </w:tc>
        <w:tc>
          <w:tcPr>
            <w:tcW w:w="1203" w:type="dxa"/>
            <w:tcBorders>
              <w:top w:val="single" w:sz="4" w:space="0" w:color="auto"/>
              <w:left w:val="single" w:sz="4" w:space="0" w:color="auto"/>
              <w:bottom w:val="single" w:sz="4" w:space="0" w:color="auto"/>
              <w:right w:val="single" w:sz="4" w:space="0" w:color="auto"/>
            </w:tcBorders>
          </w:tcPr>
          <w:p w14:paraId="2494C874" w14:textId="77777777" w:rsidR="00204E97" w:rsidRPr="00D9232D" w:rsidRDefault="00204E97" w:rsidP="00AA0A6A">
            <w:pPr>
              <w:spacing w:after="160" w:line="360" w:lineRule="auto"/>
              <w:rPr>
                <w:sz w:val="24"/>
                <w:szCs w:val="24"/>
              </w:rPr>
            </w:pPr>
            <w:r w:rsidRPr="00D9232D">
              <w:rPr>
                <w:sz w:val="24"/>
                <w:szCs w:val="24"/>
              </w:rPr>
              <w:t>62.1</w:t>
            </w:r>
          </w:p>
        </w:tc>
        <w:tc>
          <w:tcPr>
            <w:tcW w:w="1220" w:type="dxa"/>
            <w:tcBorders>
              <w:top w:val="single" w:sz="4" w:space="0" w:color="auto"/>
              <w:left w:val="single" w:sz="4" w:space="0" w:color="auto"/>
              <w:bottom w:val="single" w:sz="4" w:space="0" w:color="auto"/>
              <w:right w:val="single" w:sz="4" w:space="0" w:color="auto"/>
            </w:tcBorders>
          </w:tcPr>
          <w:p w14:paraId="7ADAD883" w14:textId="77777777" w:rsidR="00204E97" w:rsidRPr="00D9232D" w:rsidRDefault="00204E97" w:rsidP="00AA0A6A">
            <w:pPr>
              <w:spacing w:after="160" w:line="360" w:lineRule="auto"/>
              <w:rPr>
                <w:sz w:val="24"/>
                <w:szCs w:val="24"/>
              </w:rPr>
            </w:pPr>
            <w:r w:rsidRPr="00D9232D">
              <w:rPr>
                <w:sz w:val="24"/>
                <w:szCs w:val="24"/>
              </w:rPr>
              <w:t>71.7</w:t>
            </w:r>
          </w:p>
        </w:tc>
        <w:tc>
          <w:tcPr>
            <w:tcW w:w="1174" w:type="dxa"/>
            <w:tcBorders>
              <w:top w:val="single" w:sz="4" w:space="0" w:color="auto"/>
              <w:left w:val="single" w:sz="4" w:space="0" w:color="auto"/>
              <w:bottom w:val="single" w:sz="4" w:space="0" w:color="auto"/>
              <w:right w:val="single" w:sz="4" w:space="0" w:color="auto"/>
            </w:tcBorders>
          </w:tcPr>
          <w:p w14:paraId="38B119A5" w14:textId="77777777" w:rsidR="00204E97" w:rsidRPr="00D9232D" w:rsidRDefault="00204E97" w:rsidP="00AA0A6A">
            <w:pPr>
              <w:spacing w:line="360" w:lineRule="auto"/>
              <w:rPr>
                <w:sz w:val="24"/>
                <w:szCs w:val="24"/>
              </w:rPr>
            </w:pPr>
            <w:r w:rsidRPr="00D9232D">
              <w:rPr>
                <w:sz w:val="24"/>
                <w:szCs w:val="24"/>
              </w:rPr>
              <w:t>16.3</w:t>
            </w:r>
          </w:p>
        </w:tc>
      </w:tr>
      <w:tr w:rsidR="00204E97" w:rsidRPr="00D9232D" w14:paraId="271AAFB4"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1D7B859"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7BC81E0C" w14:textId="77777777" w:rsidR="00204E97" w:rsidRPr="00D9232D" w:rsidRDefault="00204E97" w:rsidP="00AA0A6A">
            <w:pPr>
              <w:spacing w:after="160" w:line="360" w:lineRule="auto"/>
              <w:rPr>
                <w:sz w:val="24"/>
                <w:szCs w:val="24"/>
              </w:rPr>
            </w:pPr>
            <w:r w:rsidRPr="00D9232D">
              <w:rPr>
                <w:sz w:val="24"/>
                <w:szCs w:val="24"/>
              </w:rPr>
              <w:t>Estonia</w:t>
            </w:r>
          </w:p>
        </w:tc>
        <w:tc>
          <w:tcPr>
            <w:tcW w:w="1001" w:type="dxa"/>
            <w:tcBorders>
              <w:top w:val="single" w:sz="4" w:space="0" w:color="auto"/>
              <w:left w:val="single" w:sz="4" w:space="0" w:color="auto"/>
              <w:bottom w:val="single" w:sz="4" w:space="0" w:color="auto"/>
              <w:right w:val="single" w:sz="4" w:space="0" w:color="auto"/>
            </w:tcBorders>
          </w:tcPr>
          <w:p w14:paraId="4735ABF8" w14:textId="77777777" w:rsidR="00204E97" w:rsidRPr="00D9232D" w:rsidRDefault="00204E97" w:rsidP="00AA0A6A">
            <w:pPr>
              <w:spacing w:after="160" w:line="360" w:lineRule="auto"/>
              <w:rPr>
                <w:sz w:val="24"/>
                <w:szCs w:val="24"/>
              </w:rPr>
            </w:pPr>
            <w:r w:rsidRPr="00D9232D">
              <w:rPr>
                <w:sz w:val="24"/>
                <w:szCs w:val="24"/>
              </w:rPr>
              <w:t>4,770</w:t>
            </w:r>
          </w:p>
        </w:tc>
        <w:tc>
          <w:tcPr>
            <w:tcW w:w="936" w:type="dxa"/>
            <w:tcBorders>
              <w:top w:val="single" w:sz="4" w:space="0" w:color="auto"/>
              <w:left w:val="single" w:sz="4" w:space="0" w:color="auto"/>
              <w:bottom w:val="single" w:sz="4" w:space="0" w:color="auto"/>
              <w:right w:val="single" w:sz="4" w:space="0" w:color="auto"/>
            </w:tcBorders>
          </w:tcPr>
          <w:p w14:paraId="71131B70" w14:textId="77777777" w:rsidR="00204E97" w:rsidRPr="00D9232D" w:rsidRDefault="00204E97" w:rsidP="00AA0A6A">
            <w:pPr>
              <w:spacing w:after="160" w:line="360" w:lineRule="auto"/>
              <w:rPr>
                <w:sz w:val="24"/>
                <w:szCs w:val="24"/>
              </w:rPr>
            </w:pPr>
            <w:r w:rsidRPr="00D9232D">
              <w:rPr>
                <w:sz w:val="24"/>
                <w:szCs w:val="24"/>
              </w:rPr>
              <w:t>51.2</w:t>
            </w:r>
          </w:p>
        </w:tc>
        <w:tc>
          <w:tcPr>
            <w:tcW w:w="1203" w:type="dxa"/>
            <w:tcBorders>
              <w:top w:val="single" w:sz="4" w:space="0" w:color="auto"/>
              <w:left w:val="single" w:sz="4" w:space="0" w:color="auto"/>
              <w:bottom w:val="single" w:sz="4" w:space="0" w:color="auto"/>
              <w:right w:val="single" w:sz="4" w:space="0" w:color="auto"/>
            </w:tcBorders>
          </w:tcPr>
          <w:p w14:paraId="0510896F" w14:textId="77777777" w:rsidR="00204E97" w:rsidRPr="00D9232D" w:rsidRDefault="00204E97" w:rsidP="00AA0A6A">
            <w:pPr>
              <w:spacing w:after="160" w:line="360" w:lineRule="auto"/>
              <w:rPr>
                <w:sz w:val="24"/>
                <w:szCs w:val="24"/>
              </w:rPr>
            </w:pPr>
            <w:r w:rsidRPr="00D9232D">
              <w:rPr>
                <w:sz w:val="24"/>
                <w:szCs w:val="24"/>
              </w:rPr>
              <w:t>72.1</w:t>
            </w:r>
          </w:p>
        </w:tc>
        <w:tc>
          <w:tcPr>
            <w:tcW w:w="1220" w:type="dxa"/>
            <w:tcBorders>
              <w:top w:val="single" w:sz="4" w:space="0" w:color="auto"/>
              <w:left w:val="single" w:sz="4" w:space="0" w:color="auto"/>
              <w:bottom w:val="single" w:sz="4" w:space="0" w:color="auto"/>
              <w:right w:val="single" w:sz="4" w:space="0" w:color="auto"/>
            </w:tcBorders>
          </w:tcPr>
          <w:p w14:paraId="6675109C" w14:textId="77777777" w:rsidR="00204E97" w:rsidRPr="00D9232D" w:rsidRDefault="00204E97" w:rsidP="00AA0A6A">
            <w:pPr>
              <w:spacing w:after="160" w:line="360" w:lineRule="auto"/>
              <w:rPr>
                <w:sz w:val="24"/>
                <w:szCs w:val="24"/>
              </w:rPr>
            </w:pPr>
            <w:r w:rsidRPr="00D9232D">
              <w:rPr>
                <w:sz w:val="24"/>
                <w:szCs w:val="24"/>
              </w:rPr>
              <w:t>79.4</w:t>
            </w:r>
          </w:p>
        </w:tc>
        <w:tc>
          <w:tcPr>
            <w:tcW w:w="1174" w:type="dxa"/>
            <w:tcBorders>
              <w:top w:val="single" w:sz="4" w:space="0" w:color="auto"/>
              <w:left w:val="single" w:sz="4" w:space="0" w:color="auto"/>
              <w:bottom w:val="single" w:sz="4" w:space="0" w:color="auto"/>
              <w:right w:val="single" w:sz="4" w:space="0" w:color="auto"/>
            </w:tcBorders>
          </w:tcPr>
          <w:p w14:paraId="340B0DBC" w14:textId="77777777" w:rsidR="00204E97" w:rsidRPr="00D9232D" w:rsidRDefault="00204E97" w:rsidP="00AA0A6A">
            <w:pPr>
              <w:spacing w:line="360" w:lineRule="auto"/>
              <w:rPr>
                <w:sz w:val="24"/>
                <w:szCs w:val="24"/>
              </w:rPr>
            </w:pPr>
            <w:r w:rsidRPr="00D9232D">
              <w:rPr>
                <w:sz w:val="24"/>
                <w:szCs w:val="24"/>
              </w:rPr>
              <w:t>28.5</w:t>
            </w:r>
          </w:p>
        </w:tc>
      </w:tr>
      <w:tr w:rsidR="00204E97" w:rsidRPr="00D9232D" w14:paraId="2C8C9716"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45D34E07"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566540E0" w14:textId="77777777" w:rsidR="00204E97" w:rsidRPr="00D9232D" w:rsidRDefault="00204E97" w:rsidP="00AA0A6A">
            <w:pPr>
              <w:spacing w:after="160" w:line="360" w:lineRule="auto"/>
              <w:rPr>
                <w:sz w:val="24"/>
                <w:szCs w:val="24"/>
              </w:rPr>
            </w:pPr>
            <w:r w:rsidRPr="00D9232D">
              <w:rPr>
                <w:sz w:val="24"/>
                <w:szCs w:val="24"/>
              </w:rPr>
              <w:t>Georgia</w:t>
            </w:r>
          </w:p>
        </w:tc>
        <w:tc>
          <w:tcPr>
            <w:tcW w:w="1001" w:type="dxa"/>
            <w:tcBorders>
              <w:top w:val="single" w:sz="4" w:space="0" w:color="auto"/>
              <w:left w:val="single" w:sz="4" w:space="0" w:color="auto"/>
              <w:bottom w:val="single" w:sz="4" w:space="0" w:color="auto"/>
              <w:right w:val="single" w:sz="4" w:space="0" w:color="auto"/>
            </w:tcBorders>
          </w:tcPr>
          <w:p w14:paraId="0576C585" w14:textId="77777777" w:rsidR="00204E97" w:rsidRPr="00D9232D" w:rsidRDefault="00204E97" w:rsidP="00AA0A6A">
            <w:pPr>
              <w:spacing w:after="160" w:line="360" w:lineRule="auto"/>
              <w:rPr>
                <w:sz w:val="24"/>
                <w:szCs w:val="24"/>
              </w:rPr>
            </w:pPr>
            <w:r w:rsidRPr="00D9232D">
              <w:rPr>
                <w:sz w:val="24"/>
                <w:szCs w:val="24"/>
              </w:rPr>
              <w:t>3,972</w:t>
            </w:r>
          </w:p>
        </w:tc>
        <w:tc>
          <w:tcPr>
            <w:tcW w:w="936" w:type="dxa"/>
            <w:tcBorders>
              <w:top w:val="single" w:sz="4" w:space="0" w:color="auto"/>
              <w:left w:val="single" w:sz="4" w:space="0" w:color="auto"/>
              <w:bottom w:val="single" w:sz="4" w:space="0" w:color="auto"/>
              <w:right w:val="single" w:sz="4" w:space="0" w:color="auto"/>
            </w:tcBorders>
          </w:tcPr>
          <w:p w14:paraId="38842142" w14:textId="77777777" w:rsidR="00204E97" w:rsidRPr="00D9232D" w:rsidRDefault="00204E97" w:rsidP="00AA0A6A">
            <w:pPr>
              <w:spacing w:after="160" w:line="360" w:lineRule="auto"/>
              <w:rPr>
                <w:sz w:val="24"/>
                <w:szCs w:val="24"/>
              </w:rPr>
            </w:pPr>
            <w:r w:rsidRPr="00D9232D">
              <w:rPr>
                <w:sz w:val="24"/>
                <w:szCs w:val="24"/>
              </w:rPr>
              <w:t>51.3</w:t>
            </w:r>
          </w:p>
        </w:tc>
        <w:tc>
          <w:tcPr>
            <w:tcW w:w="1203" w:type="dxa"/>
            <w:tcBorders>
              <w:top w:val="single" w:sz="4" w:space="0" w:color="auto"/>
              <w:left w:val="single" w:sz="4" w:space="0" w:color="auto"/>
              <w:bottom w:val="single" w:sz="4" w:space="0" w:color="auto"/>
              <w:right w:val="single" w:sz="4" w:space="0" w:color="auto"/>
            </w:tcBorders>
          </w:tcPr>
          <w:p w14:paraId="3FFCC5AE" w14:textId="77777777" w:rsidR="00204E97" w:rsidRPr="00D9232D" w:rsidRDefault="00204E97" w:rsidP="00AA0A6A">
            <w:pPr>
              <w:spacing w:after="160" w:line="360" w:lineRule="auto"/>
              <w:rPr>
                <w:sz w:val="24"/>
                <w:szCs w:val="24"/>
              </w:rPr>
            </w:pPr>
            <w:r w:rsidRPr="00D9232D">
              <w:rPr>
                <w:sz w:val="24"/>
                <w:szCs w:val="24"/>
              </w:rPr>
              <w:t>60.6</w:t>
            </w:r>
          </w:p>
        </w:tc>
        <w:tc>
          <w:tcPr>
            <w:tcW w:w="1220" w:type="dxa"/>
            <w:tcBorders>
              <w:top w:val="single" w:sz="4" w:space="0" w:color="auto"/>
              <w:left w:val="single" w:sz="4" w:space="0" w:color="auto"/>
              <w:bottom w:val="single" w:sz="4" w:space="0" w:color="auto"/>
              <w:right w:val="single" w:sz="4" w:space="0" w:color="auto"/>
            </w:tcBorders>
          </w:tcPr>
          <w:p w14:paraId="5F3882D8" w14:textId="77777777" w:rsidR="00204E97" w:rsidRPr="00D9232D" w:rsidRDefault="00204E97" w:rsidP="00AA0A6A">
            <w:pPr>
              <w:spacing w:after="160" w:line="360" w:lineRule="auto"/>
              <w:rPr>
                <w:sz w:val="24"/>
                <w:szCs w:val="24"/>
              </w:rPr>
            </w:pPr>
            <w:r w:rsidRPr="00D9232D">
              <w:rPr>
                <w:sz w:val="24"/>
                <w:szCs w:val="24"/>
              </w:rPr>
              <w:t>69.0</w:t>
            </w:r>
          </w:p>
        </w:tc>
        <w:tc>
          <w:tcPr>
            <w:tcW w:w="1174" w:type="dxa"/>
            <w:tcBorders>
              <w:top w:val="single" w:sz="4" w:space="0" w:color="auto"/>
              <w:left w:val="single" w:sz="4" w:space="0" w:color="auto"/>
              <w:bottom w:val="single" w:sz="4" w:space="0" w:color="auto"/>
              <w:right w:val="single" w:sz="4" w:space="0" w:color="auto"/>
            </w:tcBorders>
          </w:tcPr>
          <w:p w14:paraId="1600821F" w14:textId="77777777" w:rsidR="00204E97" w:rsidRPr="00D9232D" w:rsidRDefault="00204E97" w:rsidP="00AA0A6A">
            <w:pPr>
              <w:spacing w:line="360" w:lineRule="auto"/>
              <w:rPr>
                <w:sz w:val="24"/>
                <w:szCs w:val="24"/>
              </w:rPr>
            </w:pPr>
            <w:r w:rsidRPr="00D9232D">
              <w:rPr>
                <w:sz w:val="24"/>
                <w:szCs w:val="24"/>
              </w:rPr>
              <w:t>11.5</w:t>
            </w:r>
          </w:p>
        </w:tc>
      </w:tr>
      <w:tr w:rsidR="00204E97" w:rsidRPr="00D9232D" w14:paraId="7A067581"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288CE6D5"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408049ED" w14:textId="77777777" w:rsidR="00204E97" w:rsidRPr="00D9232D" w:rsidRDefault="00204E97" w:rsidP="00AA0A6A">
            <w:pPr>
              <w:spacing w:after="160" w:line="360" w:lineRule="auto"/>
              <w:rPr>
                <w:sz w:val="24"/>
                <w:szCs w:val="24"/>
              </w:rPr>
            </w:pPr>
            <w:proofErr w:type="spellStart"/>
            <w:r w:rsidRPr="00D9232D">
              <w:rPr>
                <w:sz w:val="24"/>
                <w:szCs w:val="24"/>
              </w:rPr>
              <w:t>Hungary</w:t>
            </w:r>
            <w:proofErr w:type="spellEnd"/>
          </w:p>
        </w:tc>
        <w:tc>
          <w:tcPr>
            <w:tcW w:w="1001" w:type="dxa"/>
            <w:tcBorders>
              <w:top w:val="single" w:sz="4" w:space="0" w:color="auto"/>
              <w:left w:val="single" w:sz="4" w:space="0" w:color="auto"/>
              <w:bottom w:val="single" w:sz="4" w:space="0" w:color="auto"/>
              <w:right w:val="single" w:sz="4" w:space="0" w:color="auto"/>
            </w:tcBorders>
          </w:tcPr>
          <w:p w14:paraId="14A0ED0E" w14:textId="77777777" w:rsidR="00204E97" w:rsidRPr="00D9232D" w:rsidRDefault="00204E97" w:rsidP="00AA0A6A">
            <w:pPr>
              <w:spacing w:after="160" w:line="360" w:lineRule="auto"/>
              <w:rPr>
                <w:sz w:val="24"/>
                <w:szCs w:val="24"/>
              </w:rPr>
            </w:pPr>
            <w:r w:rsidRPr="00D9232D">
              <w:rPr>
                <w:sz w:val="24"/>
                <w:szCs w:val="24"/>
              </w:rPr>
              <w:t>4,687</w:t>
            </w:r>
          </w:p>
        </w:tc>
        <w:tc>
          <w:tcPr>
            <w:tcW w:w="936" w:type="dxa"/>
            <w:tcBorders>
              <w:top w:val="single" w:sz="4" w:space="0" w:color="auto"/>
              <w:left w:val="single" w:sz="4" w:space="0" w:color="auto"/>
              <w:bottom w:val="single" w:sz="4" w:space="0" w:color="auto"/>
              <w:right w:val="single" w:sz="4" w:space="0" w:color="auto"/>
            </w:tcBorders>
          </w:tcPr>
          <w:p w14:paraId="7CB2F166" w14:textId="77777777" w:rsidR="00204E97" w:rsidRPr="00D9232D" w:rsidRDefault="00204E97" w:rsidP="00AA0A6A">
            <w:pPr>
              <w:spacing w:after="160" w:line="360" w:lineRule="auto"/>
              <w:rPr>
                <w:sz w:val="24"/>
                <w:szCs w:val="24"/>
              </w:rPr>
            </w:pPr>
            <w:r w:rsidRPr="00D9232D">
              <w:rPr>
                <w:sz w:val="24"/>
                <w:szCs w:val="24"/>
              </w:rPr>
              <w:t>51.3</w:t>
            </w:r>
          </w:p>
        </w:tc>
        <w:tc>
          <w:tcPr>
            <w:tcW w:w="1203" w:type="dxa"/>
            <w:tcBorders>
              <w:top w:val="single" w:sz="4" w:space="0" w:color="auto"/>
              <w:left w:val="single" w:sz="4" w:space="0" w:color="auto"/>
              <w:bottom w:val="single" w:sz="4" w:space="0" w:color="auto"/>
              <w:right w:val="single" w:sz="4" w:space="0" w:color="auto"/>
            </w:tcBorders>
          </w:tcPr>
          <w:p w14:paraId="77E3C28C" w14:textId="77777777" w:rsidR="00204E97" w:rsidRPr="00D9232D" w:rsidRDefault="00204E97" w:rsidP="00AA0A6A">
            <w:pPr>
              <w:spacing w:after="160" w:line="360" w:lineRule="auto"/>
              <w:rPr>
                <w:sz w:val="24"/>
                <w:szCs w:val="24"/>
              </w:rPr>
            </w:pPr>
            <w:r w:rsidRPr="00D9232D">
              <w:rPr>
                <w:sz w:val="24"/>
                <w:szCs w:val="24"/>
              </w:rPr>
              <w:t>71.7</w:t>
            </w:r>
          </w:p>
        </w:tc>
        <w:tc>
          <w:tcPr>
            <w:tcW w:w="1220" w:type="dxa"/>
            <w:tcBorders>
              <w:top w:val="single" w:sz="4" w:space="0" w:color="auto"/>
              <w:left w:val="single" w:sz="4" w:space="0" w:color="auto"/>
              <w:bottom w:val="single" w:sz="4" w:space="0" w:color="auto"/>
              <w:right w:val="single" w:sz="4" w:space="0" w:color="auto"/>
            </w:tcBorders>
          </w:tcPr>
          <w:p w14:paraId="77AB75A8" w14:textId="77777777" w:rsidR="00204E97" w:rsidRPr="00D9232D" w:rsidRDefault="00204E97" w:rsidP="00AA0A6A">
            <w:pPr>
              <w:spacing w:after="160" w:line="360" w:lineRule="auto"/>
              <w:rPr>
                <w:sz w:val="24"/>
                <w:szCs w:val="24"/>
              </w:rPr>
            </w:pPr>
            <w:r w:rsidRPr="00D9232D">
              <w:rPr>
                <w:sz w:val="24"/>
                <w:szCs w:val="24"/>
              </w:rPr>
              <w:t>82.1</w:t>
            </w:r>
          </w:p>
        </w:tc>
        <w:tc>
          <w:tcPr>
            <w:tcW w:w="1174" w:type="dxa"/>
            <w:tcBorders>
              <w:top w:val="single" w:sz="4" w:space="0" w:color="auto"/>
              <w:left w:val="single" w:sz="4" w:space="0" w:color="auto"/>
              <w:bottom w:val="single" w:sz="4" w:space="0" w:color="auto"/>
              <w:right w:val="single" w:sz="4" w:space="0" w:color="auto"/>
            </w:tcBorders>
          </w:tcPr>
          <w:p w14:paraId="07CDB787" w14:textId="77777777" w:rsidR="00204E97" w:rsidRPr="00D9232D" w:rsidRDefault="00204E97" w:rsidP="00AA0A6A">
            <w:pPr>
              <w:spacing w:line="360" w:lineRule="auto"/>
              <w:rPr>
                <w:sz w:val="24"/>
                <w:szCs w:val="24"/>
              </w:rPr>
            </w:pPr>
            <w:r w:rsidRPr="00D9232D">
              <w:rPr>
                <w:sz w:val="24"/>
                <w:szCs w:val="24"/>
              </w:rPr>
              <w:t>23.5</w:t>
            </w:r>
          </w:p>
        </w:tc>
      </w:tr>
      <w:tr w:rsidR="00204E97" w:rsidRPr="00D9232D" w14:paraId="12DDC93C"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64D6D04B"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2001C5F5" w14:textId="77777777" w:rsidR="00204E97" w:rsidRPr="00D9232D" w:rsidRDefault="00204E97" w:rsidP="00AA0A6A">
            <w:pPr>
              <w:spacing w:after="160" w:line="360" w:lineRule="auto"/>
              <w:rPr>
                <w:sz w:val="24"/>
                <w:szCs w:val="24"/>
              </w:rPr>
            </w:pPr>
            <w:proofErr w:type="spellStart"/>
            <w:r w:rsidRPr="00D9232D">
              <w:rPr>
                <w:sz w:val="24"/>
                <w:szCs w:val="24"/>
              </w:rPr>
              <w:t>Kazakhstan</w:t>
            </w:r>
            <w:proofErr w:type="spellEnd"/>
          </w:p>
        </w:tc>
        <w:tc>
          <w:tcPr>
            <w:tcW w:w="1001" w:type="dxa"/>
            <w:tcBorders>
              <w:top w:val="single" w:sz="4" w:space="0" w:color="auto"/>
              <w:left w:val="single" w:sz="4" w:space="0" w:color="auto"/>
              <w:bottom w:val="single" w:sz="4" w:space="0" w:color="auto"/>
              <w:right w:val="single" w:sz="4" w:space="0" w:color="auto"/>
            </w:tcBorders>
          </w:tcPr>
          <w:p w14:paraId="7F141361" w14:textId="77777777" w:rsidR="00204E97" w:rsidRPr="00D9232D" w:rsidRDefault="00204E97" w:rsidP="00AA0A6A">
            <w:pPr>
              <w:spacing w:after="160" w:line="360" w:lineRule="auto"/>
              <w:rPr>
                <w:sz w:val="24"/>
                <w:szCs w:val="24"/>
              </w:rPr>
            </w:pPr>
            <w:r w:rsidRPr="00D9232D">
              <w:rPr>
                <w:sz w:val="24"/>
                <w:szCs w:val="24"/>
              </w:rPr>
              <w:t>17,084</w:t>
            </w:r>
          </w:p>
        </w:tc>
        <w:tc>
          <w:tcPr>
            <w:tcW w:w="936" w:type="dxa"/>
            <w:tcBorders>
              <w:top w:val="single" w:sz="4" w:space="0" w:color="auto"/>
              <w:left w:val="single" w:sz="4" w:space="0" w:color="auto"/>
              <w:bottom w:val="single" w:sz="4" w:space="0" w:color="auto"/>
              <w:right w:val="single" w:sz="4" w:space="0" w:color="auto"/>
            </w:tcBorders>
          </w:tcPr>
          <w:p w14:paraId="4038661A" w14:textId="77777777" w:rsidR="00204E97" w:rsidRPr="00D9232D" w:rsidRDefault="00204E97" w:rsidP="00AA0A6A">
            <w:pPr>
              <w:spacing w:after="160" w:line="360" w:lineRule="auto"/>
              <w:rPr>
                <w:sz w:val="24"/>
                <w:szCs w:val="24"/>
              </w:rPr>
            </w:pPr>
            <w:r w:rsidRPr="00D9232D">
              <w:rPr>
                <w:sz w:val="24"/>
                <w:szCs w:val="24"/>
              </w:rPr>
              <w:t>50.1</w:t>
            </w:r>
          </w:p>
        </w:tc>
        <w:tc>
          <w:tcPr>
            <w:tcW w:w="1203" w:type="dxa"/>
            <w:tcBorders>
              <w:top w:val="single" w:sz="4" w:space="0" w:color="auto"/>
              <w:left w:val="single" w:sz="4" w:space="0" w:color="auto"/>
              <w:bottom w:val="single" w:sz="4" w:space="0" w:color="auto"/>
              <w:right w:val="single" w:sz="4" w:space="0" w:color="auto"/>
            </w:tcBorders>
          </w:tcPr>
          <w:p w14:paraId="4EB1C2A5" w14:textId="77777777" w:rsidR="00204E97" w:rsidRPr="00D9232D" w:rsidRDefault="00204E97" w:rsidP="00AA0A6A">
            <w:pPr>
              <w:spacing w:after="160" w:line="360" w:lineRule="auto"/>
              <w:rPr>
                <w:sz w:val="24"/>
                <w:szCs w:val="24"/>
              </w:rPr>
            </w:pPr>
            <w:r w:rsidRPr="00D9232D">
              <w:rPr>
                <w:sz w:val="24"/>
                <w:szCs w:val="24"/>
              </w:rPr>
              <w:t>50.7</w:t>
            </w:r>
          </w:p>
        </w:tc>
        <w:tc>
          <w:tcPr>
            <w:tcW w:w="1220" w:type="dxa"/>
            <w:tcBorders>
              <w:top w:val="single" w:sz="4" w:space="0" w:color="auto"/>
              <w:left w:val="single" w:sz="4" w:space="0" w:color="auto"/>
              <w:bottom w:val="single" w:sz="4" w:space="0" w:color="auto"/>
              <w:right w:val="single" w:sz="4" w:space="0" w:color="auto"/>
            </w:tcBorders>
          </w:tcPr>
          <w:p w14:paraId="14850D8F" w14:textId="77777777" w:rsidR="00204E97" w:rsidRPr="00D9232D" w:rsidRDefault="00204E97" w:rsidP="00AA0A6A">
            <w:pPr>
              <w:spacing w:after="160" w:line="360" w:lineRule="auto"/>
              <w:rPr>
                <w:sz w:val="24"/>
                <w:szCs w:val="24"/>
              </w:rPr>
            </w:pPr>
            <w:r w:rsidRPr="00D9232D">
              <w:rPr>
                <w:sz w:val="24"/>
                <w:szCs w:val="24"/>
              </w:rPr>
              <w:t>63.3</w:t>
            </w:r>
          </w:p>
        </w:tc>
        <w:tc>
          <w:tcPr>
            <w:tcW w:w="1174" w:type="dxa"/>
            <w:tcBorders>
              <w:top w:val="single" w:sz="4" w:space="0" w:color="auto"/>
              <w:left w:val="single" w:sz="4" w:space="0" w:color="auto"/>
              <w:bottom w:val="single" w:sz="4" w:space="0" w:color="auto"/>
              <w:right w:val="single" w:sz="4" w:space="0" w:color="auto"/>
            </w:tcBorders>
          </w:tcPr>
          <w:p w14:paraId="4F65E3B7" w14:textId="77777777" w:rsidR="00204E97" w:rsidRPr="00D9232D" w:rsidRDefault="00204E97" w:rsidP="00AA0A6A">
            <w:pPr>
              <w:spacing w:line="360" w:lineRule="auto"/>
              <w:rPr>
                <w:sz w:val="24"/>
                <w:szCs w:val="24"/>
              </w:rPr>
            </w:pPr>
            <w:r w:rsidRPr="00D9232D">
              <w:rPr>
                <w:sz w:val="24"/>
                <w:szCs w:val="24"/>
              </w:rPr>
              <w:t>24.3</w:t>
            </w:r>
          </w:p>
        </w:tc>
      </w:tr>
      <w:tr w:rsidR="00204E97" w:rsidRPr="00D9232D" w14:paraId="4470BED9"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617DCFE5"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29D80E0" w14:textId="77777777" w:rsidR="00204E97" w:rsidRPr="00D9232D" w:rsidRDefault="00204E97" w:rsidP="00AA0A6A">
            <w:pPr>
              <w:spacing w:after="160" w:line="360" w:lineRule="auto"/>
              <w:rPr>
                <w:sz w:val="24"/>
                <w:szCs w:val="24"/>
              </w:rPr>
            </w:pPr>
            <w:proofErr w:type="spellStart"/>
            <w:r w:rsidRPr="00D9232D">
              <w:rPr>
                <w:sz w:val="24"/>
                <w:szCs w:val="24"/>
              </w:rPr>
              <w:t>Latvia</w:t>
            </w:r>
            <w:proofErr w:type="spellEnd"/>
          </w:p>
        </w:tc>
        <w:tc>
          <w:tcPr>
            <w:tcW w:w="1001" w:type="dxa"/>
            <w:tcBorders>
              <w:top w:val="single" w:sz="4" w:space="0" w:color="auto"/>
              <w:left w:val="single" w:sz="4" w:space="0" w:color="auto"/>
              <w:bottom w:val="single" w:sz="4" w:space="0" w:color="auto"/>
              <w:right w:val="single" w:sz="4" w:space="0" w:color="auto"/>
            </w:tcBorders>
          </w:tcPr>
          <w:p w14:paraId="5F65CE71" w14:textId="77777777" w:rsidR="00204E97" w:rsidRPr="00D9232D" w:rsidRDefault="00204E97" w:rsidP="00AA0A6A">
            <w:pPr>
              <w:spacing w:after="160" w:line="360" w:lineRule="auto"/>
              <w:rPr>
                <w:sz w:val="24"/>
                <w:szCs w:val="24"/>
              </w:rPr>
            </w:pPr>
            <w:r w:rsidRPr="00D9232D">
              <w:rPr>
                <w:sz w:val="24"/>
                <w:szCs w:val="24"/>
              </w:rPr>
              <w:t>4,589</w:t>
            </w:r>
          </w:p>
        </w:tc>
        <w:tc>
          <w:tcPr>
            <w:tcW w:w="936" w:type="dxa"/>
            <w:tcBorders>
              <w:top w:val="single" w:sz="4" w:space="0" w:color="auto"/>
              <w:left w:val="single" w:sz="4" w:space="0" w:color="auto"/>
              <w:bottom w:val="single" w:sz="4" w:space="0" w:color="auto"/>
              <w:right w:val="single" w:sz="4" w:space="0" w:color="auto"/>
            </w:tcBorders>
          </w:tcPr>
          <w:p w14:paraId="5FADA050" w14:textId="77777777" w:rsidR="00204E97" w:rsidRPr="00D9232D" w:rsidRDefault="00204E97" w:rsidP="00AA0A6A">
            <w:pPr>
              <w:spacing w:after="160" w:line="360" w:lineRule="auto"/>
              <w:rPr>
                <w:sz w:val="24"/>
                <w:szCs w:val="24"/>
              </w:rPr>
            </w:pPr>
            <w:r w:rsidRPr="00D9232D">
              <w:rPr>
                <w:sz w:val="24"/>
                <w:szCs w:val="24"/>
              </w:rPr>
              <w:t>51.4</w:t>
            </w:r>
          </w:p>
        </w:tc>
        <w:tc>
          <w:tcPr>
            <w:tcW w:w="1203" w:type="dxa"/>
            <w:tcBorders>
              <w:top w:val="single" w:sz="4" w:space="0" w:color="auto"/>
              <w:left w:val="single" w:sz="4" w:space="0" w:color="auto"/>
              <w:bottom w:val="single" w:sz="4" w:space="0" w:color="auto"/>
              <w:right w:val="single" w:sz="4" w:space="0" w:color="auto"/>
            </w:tcBorders>
          </w:tcPr>
          <w:p w14:paraId="22EC000B" w14:textId="77777777" w:rsidR="00204E97" w:rsidRPr="00D9232D" w:rsidRDefault="00204E97" w:rsidP="00AA0A6A">
            <w:pPr>
              <w:spacing w:after="160" w:line="360" w:lineRule="auto"/>
              <w:rPr>
                <w:sz w:val="24"/>
                <w:szCs w:val="24"/>
              </w:rPr>
            </w:pPr>
            <w:r w:rsidRPr="00D9232D">
              <w:rPr>
                <w:sz w:val="24"/>
                <w:szCs w:val="24"/>
              </w:rPr>
              <w:t>73.8</w:t>
            </w:r>
          </w:p>
        </w:tc>
        <w:tc>
          <w:tcPr>
            <w:tcW w:w="1220" w:type="dxa"/>
            <w:tcBorders>
              <w:top w:val="single" w:sz="4" w:space="0" w:color="auto"/>
              <w:left w:val="single" w:sz="4" w:space="0" w:color="auto"/>
              <w:bottom w:val="single" w:sz="4" w:space="0" w:color="auto"/>
              <w:right w:val="single" w:sz="4" w:space="0" w:color="auto"/>
            </w:tcBorders>
          </w:tcPr>
          <w:p w14:paraId="52CA7DD0" w14:textId="77777777" w:rsidR="00204E97" w:rsidRPr="00D9232D" w:rsidRDefault="00204E97" w:rsidP="00AA0A6A">
            <w:pPr>
              <w:spacing w:after="160" w:line="360" w:lineRule="auto"/>
              <w:rPr>
                <w:sz w:val="24"/>
                <w:szCs w:val="24"/>
              </w:rPr>
            </w:pPr>
            <w:r w:rsidRPr="00D9232D">
              <w:rPr>
                <w:sz w:val="24"/>
                <w:szCs w:val="24"/>
              </w:rPr>
              <w:t>79.5</w:t>
            </w:r>
          </w:p>
        </w:tc>
        <w:tc>
          <w:tcPr>
            <w:tcW w:w="1174" w:type="dxa"/>
            <w:tcBorders>
              <w:top w:val="single" w:sz="4" w:space="0" w:color="auto"/>
              <w:left w:val="single" w:sz="4" w:space="0" w:color="auto"/>
              <w:bottom w:val="single" w:sz="4" w:space="0" w:color="auto"/>
              <w:right w:val="single" w:sz="4" w:space="0" w:color="auto"/>
            </w:tcBorders>
          </w:tcPr>
          <w:p w14:paraId="3D4969E8" w14:textId="77777777" w:rsidR="00204E97" w:rsidRPr="00D9232D" w:rsidRDefault="00204E97" w:rsidP="00AA0A6A">
            <w:pPr>
              <w:spacing w:line="360" w:lineRule="auto"/>
              <w:rPr>
                <w:sz w:val="24"/>
                <w:szCs w:val="24"/>
              </w:rPr>
            </w:pPr>
            <w:r w:rsidRPr="00D9232D">
              <w:rPr>
                <w:sz w:val="24"/>
                <w:szCs w:val="24"/>
              </w:rPr>
              <w:t>28.1</w:t>
            </w:r>
          </w:p>
        </w:tc>
      </w:tr>
      <w:tr w:rsidR="00204E97" w:rsidRPr="00D9232D" w14:paraId="4E504FD0"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456754E"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73DF0F71" w14:textId="77777777" w:rsidR="00204E97" w:rsidRPr="00D9232D" w:rsidRDefault="00204E97" w:rsidP="00AA0A6A">
            <w:pPr>
              <w:spacing w:after="160" w:line="360" w:lineRule="auto"/>
              <w:rPr>
                <w:sz w:val="24"/>
                <w:szCs w:val="24"/>
              </w:rPr>
            </w:pPr>
            <w:proofErr w:type="spellStart"/>
            <w:r w:rsidRPr="00D9232D">
              <w:rPr>
                <w:sz w:val="24"/>
                <w:szCs w:val="24"/>
              </w:rPr>
              <w:t>Lithuania</w:t>
            </w:r>
            <w:proofErr w:type="spellEnd"/>
          </w:p>
        </w:tc>
        <w:tc>
          <w:tcPr>
            <w:tcW w:w="1001" w:type="dxa"/>
            <w:tcBorders>
              <w:top w:val="single" w:sz="4" w:space="0" w:color="auto"/>
              <w:left w:val="single" w:sz="4" w:space="0" w:color="auto"/>
              <w:bottom w:val="single" w:sz="4" w:space="0" w:color="auto"/>
              <w:right w:val="single" w:sz="4" w:space="0" w:color="auto"/>
            </w:tcBorders>
          </w:tcPr>
          <w:p w14:paraId="4F6067A6" w14:textId="77777777" w:rsidR="00204E97" w:rsidRPr="00D9232D" w:rsidRDefault="00204E97" w:rsidP="00AA0A6A">
            <w:pPr>
              <w:spacing w:after="160" w:line="360" w:lineRule="auto"/>
              <w:rPr>
                <w:sz w:val="24"/>
                <w:szCs w:val="24"/>
              </w:rPr>
            </w:pPr>
            <w:r w:rsidRPr="00D9232D">
              <w:rPr>
                <w:sz w:val="24"/>
                <w:szCs w:val="24"/>
              </w:rPr>
              <w:t>6,082</w:t>
            </w:r>
          </w:p>
        </w:tc>
        <w:tc>
          <w:tcPr>
            <w:tcW w:w="936" w:type="dxa"/>
            <w:tcBorders>
              <w:top w:val="single" w:sz="4" w:space="0" w:color="auto"/>
              <w:left w:val="single" w:sz="4" w:space="0" w:color="auto"/>
              <w:bottom w:val="single" w:sz="4" w:space="0" w:color="auto"/>
              <w:right w:val="single" w:sz="4" w:space="0" w:color="auto"/>
            </w:tcBorders>
          </w:tcPr>
          <w:p w14:paraId="4075200D" w14:textId="77777777" w:rsidR="00204E97" w:rsidRPr="00D9232D" w:rsidRDefault="00204E97" w:rsidP="00AA0A6A">
            <w:pPr>
              <w:spacing w:after="160" w:line="360" w:lineRule="auto"/>
              <w:rPr>
                <w:sz w:val="24"/>
                <w:szCs w:val="24"/>
              </w:rPr>
            </w:pPr>
            <w:r w:rsidRPr="00D9232D">
              <w:rPr>
                <w:sz w:val="24"/>
                <w:szCs w:val="24"/>
              </w:rPr>
              <w:t>50.3</w:t>
            </w:r>
          </w:p>
        </w:tc>
        <w:tc>
          <w:tcPr>
            <w:tcW w:w="1203" w:type="dxa"/>
            <w:tcBorders>
              <w:top w:val="single" w:sz="4" w:space="0" w:color="auto"/>
              <w:left w:val="single" w:sz="4" w:space="0" w:color="auto"/>
              <w:bottom w:val="single" w:sz="4" w:space="0" w:color="auto"/>
              <w:right w:val="single" w:sz="4" w:space="0" w:color="auto"/>
            </w:tcBorders>
          </w:tcPr>
          <w:p w14:paraId="685B56E8" w14:textId="77777777" w:rsidR="00204E97" w:rsidRPr="00D9232D" w:rsidRDefault="00204E97" w:rsidP="00AA0A6A">
            <w:pPr>
              <w:spacing w:after="160" w:line="360" w:lineRule="auto"/>
              <w:rPr>
                <w:sz w:val="24"/>
                <w:szCs w:val="24"/>
              </w:rPr>
            </w:pPr>
            <w:r w:rsidRPr="00D9232D">
              <w:rPr>
                <w:sz w:val="24"/>
                <w:szCs w:val="24"/>
              </w:rPr>
              <w:t>73.9</w:t>
            </w:r>
          </w:p>
        </w:tc>
        <w:tc>
          <w:tcPr>
            <w:tcW w:w="1220" w:type="dxa"/>
            <w:tcBorders>
              <w:top w:val="single" w:sz="4" w:space="0" w:color="auto"/>
              <w:left w:val="single" w:sz="4" w:space="0" w:color="auto"/>
              <w:bottom w:val="single" w:sz="4" w:space="0" w:color="auto"/>
              <w:right w:val="single" w:sz="4" w:space="0" w:color="auto"/>
            </w:tcBorders>
          </w:tcPr>
          <w:p w14:paraId="1321E75D" w14:textId="77777777" w:rsidR="00204E97" w:rsidRPr="00D9232D" w:rsidRDefault="00204E97" w:rsidP="00AA0A6A">
            <w:pPr>
              <w:spacing w:after="160" w:line="360" w:lineRule="auto"/>
              <w:rPr>
                <w:sz w:val="24"/>
                <w:szCs w:val="24"/>
              </w:rPr>
            </w:pPr>
            <w:r w:rsidRPr="00D9232D">
              <w:rPr>
                <w:sz w:val="24"/>
                <w:szCs w:val="24"/>
              </w:rPr>
              <w:t>78.4</w:t>
            </w:r>
          </w:p>
        </w:tc>
        <w:tc>
          <w:tcPr>
            <w:tcW w:w="1174" w:type="dxa"/>
            <w:tcBorders>
              <w:top w:val="single" w:sz="4" w:space="0" w:color="auto"/>
              <w:left w:val="single" w:sz="4" w:space="0" w:color="auto"/>
              <w:bottom w:val="single" w:sz="4" w:space="0" w:color="auto"/>
              <w:right w:val="single" w:sz="4" w:space="0" w:color="auto"/>
            </w:tcBorders>
          </w:tcPr>
          <w:p w14:paraId="16B58F8A" w14:textId="77777777" w:rsidR="00204E97" w:rsidRPr="00D9232D" w:rsidRDefault="00204E97" w:rsidP="00AA0A6A">
            <w:pPr>
              <w:spacing w:line="360" w:lineRule="auto"/>
              <w:rPr>
                <w:sz w:val="24"/>
                <w:szCs w:val="24"/>
              </w:rPr>
            </w:pPr>
            <w:r w:rsidRPr="00D9232D">
              <w:rPr>
                <w:sz w:val="24"/>
                <w:szCs w:val="24"/>
              </w:rPr>
              <w:t>23.5</w:t>
            </w:r>
          </w:p>
        </w:tc>
      </w:tr>
      <w:tr w:rsidR="00204E97" w:rsidRPr="00D9232D" w14:paraId="755C6A60"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A12BE9E"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C27AE5B" w14:textId="77777777" w:rsidR="00204E97" w:rsidRPr="00D9232D" w:rsidRDefault="00204E97" w:rsidP="00AA0A6A">
            <w:pPr>
              <w:spacing w:after="160" w:line="360" w:lineRule="auto"/>
              <w:rPr>
                <w:sz w:val="24"/>
                <w:szCs w:val="24"/>
              </w:rPr>
            </w:pPr>
            <w:proofErr w:type="spellStart"/>
            <w:r w:rsidRPr="00D9232D">
              <w:rPr>
                <w:sz w:val="24"/>
                <w:szCs w:val="24"/>
              </w:rPr>
              <w:t>Poland</w:t>
            </w:r>
            <w:proofErr w:type="spellEnd"/>
          </w:p>
        </w:tc>
        <w:tc>
          <w:tcPr>
            <w:tcW w:w="1001" w:type="dxa"/>
            <w:tcBorders>
              <w:top w:val="single" w:sz="4" w:space="0" w:color="auto"/>
              <w:left w:val="single" w:sz="4" w:space="0" w:color="auto"/>
              <w:bottom w:val="single" w:sz="4" w:space="0" w:color="auto"/>
              <w:right w:val="single" w:sz="4" w:space="0" w:color="auto"/>
            </w:tcBorders>
          </w:tcPr>
          <w:p w14:paraId="5958B5BE" w14:textId="77777777" w:rsidR="00204E97" w:rsidRPr="00D9232D" w:rsidRDefault="00204E97" w:rsidP="00AA0A6A">
            <w:pPr>
              <w:spacing w:after="160" w:line="360" w:lineRule="auto"/>
              <w:rPr>
                <w:sz w:val="24"/>
                <w:szCs w:val="24"/>
              </w:rPr>
            </w:pPr>
            <w:r w:rsidRPr="00D9232D">
              <w:rPr>
                <w:sz w:val="24"/>
                <w:szCs w:val="24"/>
              </w:rPr>
              <w:t>5,108</w:t>
            </w:r>
          </w:p>
        </w:tc>
        <w:tc>
          <w:tcPr>
            <w:tcW w:w="936" w:type="dxa"/>
            <w:tcBorders>
              <w:top w:val="single" w:sz="4" w:space="0" w:color="auto"/>
              <w:left w:val="single" w:sz="4" w:space="0" w:color="auto"/>
              <w:bottom w:val="single" w:sz="4" w:space="0" w:color="auto"/>
              <w:right w:val="single" w:sz="4" w:space="0" w:color="auto"/>
            </w:tcBorders>
          </w:tcPr>
          <w:p w14:paraId="3B412E50" w14:textId="77777777" w:rsidR="00204E97" w:rsidRPr="00D9232D" w:rsidRDefault="00204E97" w:rsidP="00AA0A6A">
            <w:pPr>
              <w:spacing w:after="160" w:line="360" w:lineRule="auto"/>
              <w:rPr>
                <w:sz w:val="24"/>
                <w:szCs w:val="24"/>
              </w:rPr>
            </w:pPr>
            <w:r w:rsidRPr="00D9232D">
              <w:rPr>
                <w:sz w:val="24"/>
                <w:szCs w:val="24"/>
              </w:rPr>
              <w:t>51.8</w:t>
            </w:r>
          </w:p>
        </w:tc>
        <w:tc>
          <w:tcPr>
            <w:tcW w:w="1203" w:type="dxa"/>
            <w:tcBorders>
              <w:top w:val="single" w:sz="4" w:space="0" w:color="auto"/>
              <w:left w:val="single" w:sz="4" w:space="0" w:color="auto"/>
              <w:bottom w:val="single" w:sz="4" w:space="0" w:color="auto"/>
              <w:right w:val="single" w:sz="4" w:space="0" w:color="auto"/>
            </w:tcBorders>
          </w:tcPr>
          <w:p w14:paraId="4E9A894E" w14:textId="77777777" w:rsidR="00204E97" w:rsidRPr="00D9232D" w:rsidRDefault="00204E97" w:rsidP="00AA0A6A">
            <w:pPr>
              <w:spacing w:after="160" w:line="360" w:lineRule="auto"/>
              <w:rPr>
                <w:sz w:val="24"/>
                <w:szCs w:val="24"/>
              </w:rPr>
            </w:pPr>
            <w:r w:rsidRPr="00D9232D">
              <w:rPr>
                <w:sz w:val="24"/>
                <w:szCs w:val="24"/>
              </w:rPr>
              <w:t>72.9</w:t>
            </w:r>
          </w:p>
        </w:tc>
        <w:tc>
          <w:tcPr>
            <w:tcW w:w="1220" w:type="dxa"/>
            <w:tcBorders>
              <w:top w:val="single" w:sz="4" w:space="0" w:color="auto"/>
              <w:left w:val="single" w:sz="4" w:space="0" w:color="auto"/>
              <w:bottom w:val="single" w:sz="4" w:space="0" w:color="auto"/>
              <w:right w:val="single" w:sz="4" w:space="0" w:color="auto"/>
            </w:tcBorders>
          </w:tcPr>
          <w:p w14:paraId="199251CD" w14:textId="77777777" w:rsidR="00204E97" w:rsidRPr="00D9232D" w:rsidRDefault="00204E97" w:rsidP="00AA0A6A">
            <w:pPr>
              <w:spacing w:after="160" w:line="360" w:lineRule="auto"/>
              <w:rPr>
                <w:sz w:val="24"/>
                <w:szCs w:val="24"/>
              </w:rPr>
            </w:pPr>
            <w:r w:rsidRPr="00D9232D">
              <w:rPr>
                <w:sz w:val="24"/>
                <w:szCs w:val="24"/>
              </w:rPr>
              <w:t>82.6</w:t>
            </w:r>
          </w:p>
        </w:tc>
        <w:tc>
          <w:tcPr>
            <w:tcW w:w="1174" w:type="dxa"/>
            <w:tcBorders>
              <w:top w:val="single" w:sz="4" w:space="0" w:color="auto"/>
              <w:left w:val="single" w:sz="4" w:space="0" w:color="auto"/>
              <w:bottom w:val="single" w:sz="4" w:space="0" w:color="auto"/>
              <w:right w:val="single" w:sz="4" w:space="0" w:color="auto"/>
            </w:tcBorders>
          </w:tcPr>
          <w:p w14:paraId="1D58DE7F" w14:textId="77777777" w:rsidR="00204E97" w:rsidRPr="00D9232D" w:rsidRDefault="00204E97" w:rsidP="00AA0A6A">
            <w:pPr>
              <w:spacing w:line="360" w:lineRule="auto"/>
              <w:rPr>
                <w:sz w:val="24"/>
                <w:szCs w:val="24"/>
              </w:rPr>
            </w:pPr>
            <w:r w:rsidRPr="00D9232D">
              <w:rPr>
                <w:sz w:val="24"/>
                <w:szCs w:val="24"/>
              </w:rPr>
              <w:t>23.7</w:t>
            </w:r>
          </w:p>
        </w:tc>
      </w:tr>
      <w:tr w:rsidR="00204E97" w:rsidRPr="00D9232D" w14:paraId="0EA680F1"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569E693"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7ABF7F6C" w14:textId="77777777" w:rsidR="00204E97" w:rsidRPr="00D9232D" w:rsidRDefault="00204E97" w:rsidP="00AA0A6A">
            <w:pPr>
              <w:spacing w:after="160" w:line="360" w:lineRule="auto"/>
              <w:rPr>
                <w:sz w:val="24"/>
                <w:szCs w:val="24"/>
              </w:rPr>
            </w:pPr>
            <w:proofErr w:type="spellStart"/>
            <w:r w:rsidRPr="00D9232D">
              <w:rPr>
                <w:sz w:val="24"/>
                <w:szCs w:val="24"/>
              </w:rPr>
              <w:t>Russian</w:t>
            </w:r>
            <w:proofErr w:type="spellEnd"/>
            <w:r w:rsidRPr="00D9232D">
              <w:rPr>
                <w:sz w:val="24"/>
                <w:szCs w:val="24"/>
              </w:rPr>
              <w:t xml:space="preserve"> </w:t>
            </w:r>
            <w:proofErr w:type="spellStart"/>
            <w:r w:rsidRPr="00D9232D">
              <w:rPr>
                <w:sz w:val="24"/>
                <w:szCs w:val="24"/>
              </w:rPr>
              <w:t>Federation</w:t>
            </w:r>
            <w:proofErr w:type="spellEnd"/>
          </w:p>
        </w:tc>
        <w:tc>
          <w:tcPr>
            <w:tcW w:w="1001" w:type="dxa"/>
            <w:tcBorders>
              <w:top w:val="single" w:sz="4" w:space="0" w:color="auto"/>
              <w:left w:val="single" w:sz="4" w:space="0" w:color="auto"/>
              <w:bottom w:val="single" w:sz="4" w:space="0" w:color="auto"/>
              <w:right w:val="single" w:sz="4" w:space="0" w:color="auto"/>
            </w:tcBorders>
          </w:tcPr>
          <w:p w14:paraId="1F885357" w14:textId="77777777" w:rsidR="00204E97" w:rsidRPr="00D9232D" w:rsidRDefault="00204E97" w:rsidP="00AA0A6A">
            <w:pPr>
              <w:spacing w:after="160" w:line="360" w:lineRule="auto"/>
              <w:rPr>
                <w:sz w:val="24"/>
                <w:szCs w:val="24"/>
              </w:rPr>
            </w:pPr>
            <w:r w:rsidRPr="00D9232D">
              <w:rPr>
                <w:sz w:val="24"/>
                <w:szCs w:val="24"/>
              </w:rPr>
              <w:t>6,341</w:t>
            </w:r>
          </w:p>
        </w:tc>
        <w:tc>
          <w:tcPr>
            <w:tcW w:w="936" w:type="dxa"/>
            <w:tcBorders>
              <w:top w:val="single" w:sz="4" w:space="0" w:color="auto"/>
              <w:left w:val="single" w:sz="4" w:space="0" w:color="auto"/>
              <w:bottom w:val="single" w:sz="4" w:space="0" w:color="auto"/>
              <w:right w:val="single" w:sz="4" w:space="0" w:color="auto"/>
            </w:tcBorders>
          </w:tcPr>
          <w:p w14:paraId="4BF1E2E2" w14:textId="77777777" w:rsidR="00204E97" w:rsidRPr="00D9232D" w:rsidRDefault="00204E97" w:rsidP="00AA0A6A">
            <w:pPr>
              <w:spacing w:after="160" w:line="360" w:lineRule="auto"/>
              <w:rPr>
                <w:sz w:val="24"/>
                <w:szCs w:val="24"/>
              </w:rPr>
            </w:pPr>
            <w:r w:rsidRPr="00D9232D">
              <w:rPr>
                <w:sz w:val="24"/>
                <w:szCs w:val="24"/>
              </w:rPr>
              <w:t>52.1</w:t>
            </w:r>
          </w:p>
        </w:tc>
        <w:tc>
          <w:tcPr>
            <w:tcW w:w="1203" w:type="dxa"/>
            <w:tcBorders>
              <w:top w:val="single" w:sz="4" w:space="0" w:color="auto"/>
              <w:left w:val="single" w:sz="4" w:space="0" w:color="auto"/>
              <w:bottom w:val="single" w:sz="4" w:space="0" w:color="auto"/>
              <w:right w:val="single" w:sz="4" w:space="0" w:color="auto"/>
            </w:tcBorders>
          </w:tcPr>
          <w:p w14:paraId="1999CD5F" w14:textId="77777777" w:rsidR="00204E97" w:rsidRPr="00D9232D" w:rsidRDefault="00204E97" w:rsidP="00AA0A6A">
            <w:pPr>
              <w:spacing w:after="160" w:line="360" w:lineRule="auto"/>
              <w:rPr>
                <w:sz w:val="24"/>
                <w:szCs w:val="24"/>
              </w:rPr>
            </w:pPr>
            <w:r w:rsidRPr="00D9232D">
              <w:rPr>
                <w:sz w:val="24"/>
                <w:szCs w:val="24"/>
              </w:rPr>
              <w:t>67.2</w:t>
            </w:r>
          </w:p>
        </w:tc>
        <w:tc>
          <w:tcPr>
            <w:tcW w:w="1220" w:type="dxa"/>
            <w:tcBorders>
              <w:top w:val="single" w:sz="4" w:space="0" w:color="auto"/>
              <w:left w:val="single" w:sz="4" w:space="0" w:color="auto"/>
              <w:bottom w:val="single" w:sz="4" w:space="0" w:color="auto"/>
              <w:right w:val="single" w:sz="4" w:space="0" w:color="auto"/>
            </w:tcBorders>
          </w:tcPr>
          <w:p w14:paraId="3C68841D" w14:textId="77777777" w:rsidR="00204E97" w:rsidRPr="00D9232D" w:rsidRDefault="00204E97" w:rsidP="00AA0A6A">
            <w:pPr>
              <w:spacing w:after="160" w:line="360" w:lineRule="auto"/>
              <w:rPr>
                <w:sz w:val="24"/>
                <w:szCs w:val="24"/>
              </w:rPr>
            </w:pPr>
            <w:r w:rsidRPr="00D9232D">
              <w:rPr>
                <w:sz w:val="24"/>
                <w:szCs w:val="24"/>
              </w:rPr>
              <w:t>76.3</w:t>
            </w:r>
          </w:p>
        </w:tc>
        <w:tc>
          <w:tcPr>
            <w:tcW w:w="1174" w:type="dxa"/>
            <w:tcBorders>
              <w:top w:val="single" w:sz="4" w:space="0" w:color="auto"/>
              <w:left w:val="single" w:sz="4" w:space="0" w:color="auto"/>
              <w:bottom w:val="single" w:sz="4" w:space="0" w:color="auto"/>
              <w:right w:val="single" w:sz="4" w:space="0" w:color="auto"/>
            </w:tcBorders>
          </w:tcPr>
          <w:p w14:paraId="10A114C5" w14:textId="77777777" w:rsidR="00204E97" w:rsidRPr="00D9232D" w:rsidRDefault="00204E97" w:rsidP="00AA0A6A">
            <w:pPr>
              <w:spacing w:line="360" w:lineRule="auto"/>
              <w:rPr>
                <w:sz w:val="24"/>
                <w:szCs w:val="24"/>
              </w:rPr>
            </w:pPr>
            <w:r w:rsidRPr="00D9232D">
              <w:rPr>
                <w:sz w:val="24"/>
                <w:szCs w:val="24"/>
              </w:rPr>
              <w:t>28.4</w:t>
            </w:r>
          </w:p>
        </w:tc>
      </w:tr>
      <w:tr w:rsidR="00204E97" w:rsidRPr="00D9232D" w14:paraId="623EAE08"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24AD59F2"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29605BD4" w14:textId="77777777" w:rsidR="00204E97" w:rsidRPr="00D9232D" w:rsidRDefault="00204E97" w:rsidP="00AA0A6A">
            <w:pPr>
              <w:spacing w:after="160" w:line="360" w:lineRule="auto"/>
              <w:rPr>
                <w:sz w:val="24"/>
                <w:szCs w:val="24"/>
              </w:rPr>
            </w:pPr>
            <w:proofErr w:type="spellStart"/>
            <w:r w:rsidRPr="00D9232D">
              <w:rPr>
                <w:sz w:val="24"/>
                <w:szCs w:val="24"/>
              </w:rPr>
              <w:t>Slovak</w:t>
            </w:r>
            <w:proofErr w:type="spellEnd"/>
            <w:r w:rsidRPr="00D9232D">
              <w:rPr>
                <w:sz w:val="24"/>
                <w:szCs w:val="24"/>
              </w:rPr>
              <w:t xml:space="preserve"> </w:t>
            </w:r>
            <w:proofErr w:type="spellStart"/>
            <w:r w:rsidRPr="00D9232D">
              <w:rPr>
                <w:sz w:val="24"/>
                <w:szCs w:val="24"/>
              </w:rPr>
              <w:t>Republic</w:t>
            </w:r>
            <w:proofErr w:type="spellEnd"/>
          </w:p>
        </w:tc>
        <w:tc>
          <w:tcPr>
            <w:tcW w:w="1001" w:type="dxa"/>
            <w:tcBorders>
              <w:top w:val="single" w:sz="4" w:space="0" w:color="auto"/>
              <w:left w:val="single" w:sz="4" w:space="0" w:color="auto"/>
              <w:bottom w:val="single" w:sz="4" w:space="0" w:color="auto"/>
              <w:right w:val="single" w:sz="4" w:space="0" w:color="auto"/>
            </w:tcBorders>
          </w:tcPr>
          <w:p w14:paraId="70AF8F5B" w14:textId="77777777" w:rsidR="00204E97" w:rsidRPr="00D9232D" w:rsidRDefault="00204E97" w:rsidP="00AA0A6A">
            <w:pPr>
              <w:spacing w:after="160" w:line="360" w:lineRule="auto"/>
              <w:rPr>
                <w:sz w:val="24"/>
                <w:szCs w:val="24"/>
              </w:rPr>
            </w:pPr>
            <w:r w:rsidRPr="00D9232D">
              <w:rPr>
                <w:sz w:val="24"/>
                <w:szCs w:val="24"/>
              </w:rPr>
              <w:t>4,983</w:t>
            </w:r>
          </w:p>
        </w:tc>
        <w:tc>
          <w:tcPr>
            <w:tcW w:w="936" w:type="dxa"/>
            <w:tcBorders>
              <w:top w:val="single" w:sz="4" w:space="0" w:color="auto"/>
              <w:left w:val="single" w:sz="4" w:space="0" w:color="auto"/>
              <w:bottom w:val="single" w:sz="4" w:space="0" w:color="auto"/>
              <w:right w:val="single" w:sz="4" w:space="0" w:color="auto"/>
            </w:tcBorders>
          </w:tcPr>
          <w:p w14:paraId="1A1B90DE" w14:textId="77777777" w:rsidR="00204E97" w:rsidRPr="00D9232D" w:rsidRDefault="00204E97" w:rsidP="00AA0A6A">
            <w:pPr>
              <w:spacing w:after="160" w:line="360" w:lineRule="auto"/>
              <w:rPr>
                <w:sz w:val="24"/>
                <w:szCs w:val="24"/>
              </w:rPr>
            </w:pPr>
            <w:r w:rsidRPr="00D9232D">
              <w:rPr>
                <w:sz w:val="24"/>
                <w:szCs w:val="24"/>
              </w:rPr>
              <w:t>51.2</w:t>
            </w:r>
          </w:p>
        </w:tc>
        <w:tc>
          <w:tcPr>
            <w:tcW w:w="1203" w:type="dxa"/>
            <w:tcBorders>
              <w:top w:val="single" w:sz="4" w:space="0" w:color="auto"/>
              <w:left w:val="single" w:sz="4" w:space="0" w:color="auto"/>
              <w:bottom w:val="single" w:sz="4" w:space="0" w:color="auto"/>
              <w:right w:val="single" w:sz="4" w:space="0" w:color="auto"/>
            </w:tcBorders>
          </w:tcPr>
          <w:p w14:paraId="2E916366" w14:textId="77777777" w:rsidR="00204E97" w:rsidRPr="00D9232D" w:rsidRDefault="00204E97" w:rsidP="00AA0A6A">
            <w:pPr>
              <w:spacing w:after="160" w:line="360" w:lineRule="auto"/>
              <w:rPr>
                <w:sz w:val="24"/>
                <w:szCs w:val="24"/>
              </w:rPr>
            </w:pPr>
            <w:r w:rsidRPr="00D9232D">
              <w:rPr>
                <w:sz w:val="24"/>
                <w:szCs w:val="24"/>
              </w:rPr>
              <w:t>67.1</w:t>
            </w:r>
          </w:p>
        </w:tc>
        <w:tc>
          <w:tcPr>
            <w:tcW w:w="1220" w:type="dxa"/>
            <w:tcBorders>
              <w:top w:val="single" w:sz="4" w:space="0" w:color="auto"/>
              <w:left w:val="single" w:sz="4" w:space="0" w:color="auto"/>
              <w:bottom w:val="single" w:sz="4" w:space="0" w:color="auto"/>
              <w:right w:val="single" w:sz="4" w:space="0" w:color="auto"/>
            </w:tcBorders>
          </w:tcPr>
          <w:p w14:paraId="1A9F163A" w14:textId="77777777" w:rsidR="00204E97" w:rsidRPr="00D9232D" w:rsidRDefault="00204E97" w:rsidP="00AA0A6A">
            <w:pPr>
              <w:spacing w:after="160" w:line="360" w:lineRule="auto"/>
              <w:rPr>
                <w:sz w:val="24"/>
                <w:szCs w:val="24"/>
              </w:rPr>
            </w:pPr>
            <w:r w:rsidRPr="00D9232D">
              <w:rPr>
                <w:sz w:val="24"/>
                <w:szCs w:val="24"/>
              </w:rPr>
              <w:t>73.7</w:t>
            </w:r>
          </w:p>
        </w:tc>
        <w:tc>
          <w:tcPr>
            <w:tcW w:w="1174" w:type="dxa"/>
            <w:tcBorders>
              <w:top w:val="single" w:sz="4" w:space="0" w:color="auto"/>
              <w:left w:val="single" w:sz="4" w:space="0" w:color="auto"/>
              <w:bottom w:val="single" w:sz="4" w:space="0" w:color="auto"/>
              <w:right w:val="single" w:sz="4" w:space="0" w:color="auto"/>
            </w:tcBorders>
          </w:tcPr>
          <w:p w14:paraId="64245E33" w14:textId="77777777" w:rsidR="00204E97" w:rsidRPr="00D9232D" w:rsidRDefault="00204E97" w:rsidP="00AA0A6A">
            <w:pPr>
              <w:spacing w:line="360" w:lineRule="auto"/>
              <w:rPr>
                <w:sz w:val="24"/>
                <w:szCs w:val="24"/>
              </w:rPr>
            </w:pPr>
            <w:r w:rsidRPr="00D9232D">
              <w:rPr>
                <w:sz w:val="24"/>
                <w:szCs w:val="24"/>
              </w:rPr>
              <w:t>26.9</w:t>
            </w:r>
          </w:p>
        </w:tc>
      </w:tr>
      <w:tr w:rsidR="00204E97" w:rsidRPr="00D9232D" w14:paraId="4DE3A980"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19A74B24"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41FA5C93" w14:textId="77777777" w:rsidR="00204E97" w:rsidRPr="00D9232D" w:rsidRDefault="00204E97" w:rsidP="00AA0A6A">
            <w:pPr>
              <w:spacing w:after="160" w:line="360" w:lineRule="auto"/>
              <w:rPr>
                <w:sz w:val="24"/>
                <w:szCs w:val="24"/>
              </w:rPr>
            </w:pPr>
            <w:proofErr w:type="spellStart"/>
            <w:r w:rsidRPr="00D9232D">
              <w:rPr>
                <w:sz w:val="24"/>
                <w:szCs w:val="24"/>
              </w:rPr>
              <w:t>Slovenia</w:t>
            </w:r>
            <w:proofErr w:type="spellEnd"/>
          </w:p>
        </w:tc>
        <w:tc>
          <w:tcPr>
            <w:tcW w:w="1001" w:type="dxa"/>
            <w:tcBorders>
              <w:top w:val="single" w:sz="4" w:space="0" w:color="auto"/>
              <w:left w:val="single" w:sz="4" w:space="0" w:color="auto"/>
              <w:bottom w:val="single" w:sz="4" w:space="0" w:color="auto"/>
              <w:right w:val="single" w:sz="4" w:space="0" w:color="auto"/>
            </w:tcBorders>
          </w:tcPr>
          <w:p w14:paraId="3CBE4B98" w14:textId="77777777" w:rsidR="00204E97" w:rsidRPr="00D9232D" w:rsidRDefault="00204E97" w:rsidP="00AA0A6A">
            <w:pPr>
              <w:spacing w:after="160" w:line="360" w:lineRule="auto"/>
              <w:rPr>
                <w:sz w:val="24"/>
                <w:szCs w:val="24"/>
              </w:rPr>
            </w:pPr>
            <w:r w:rsidRPr="00D9232D">
              <w:rPr>
                <w:sz w:val="24"/>
                <w:szCs w:val="24"/>
              </w:rPr>
              <w:t>5,496</w:t>
            </w:r>
          </w:p>
        </w:tc>
        <w:tc>
          <w:tcPr>
            <w:tcW w:w="936" w:type="dxa"/>
            <w:tcBorders>
              <w:top w:val="single" w:sz="4" w:space="0" w:color="auto"/>
              <w:left w:val="single" w:sz="4" w:space="0" w:color="auto"/>
              <w:bottom w:val="single" w:sz="4" w:space="0" w:color="auto"/>
              <w:right w:val="single" w:sz="4" w:space="0" w:color="auto"/>
            </w:tcBorders>
          </w:tcPr>
          <w:p w14:paraId="6B66D80A" w14:textId="77777777" w:rsidR="00204E97" w:rsidRPr="00D9232D" w:rsidRDefault="00204E97" w:rsidP="00AA0A6A">
            <w:pPr>
              <w:spacing w:after="160" w:line="360" w:lineRule="auto"/>
              <w:rPr>
                <w:sz w:val="24"/>
                <w:szCs w:val="24"/>
              </w:rPr>
            </w:pPr>
            <w:r w:rsidRPr="00D9232D">
              <w:rPr>
                <w:sz w:val="24"/>
                <w:szCs w:val="24"/>
              </w:rPr>
              <w:t>48.1</w:t>
            </w:r>
          </w:p>
        </w:tc>
        <w:tc>
          <w:tcPr>
            <w:tcW w:w="1203" w:type="dxa"/>
            <w:tcBorders>
              <w:top w:val="single" w:sz="4" w:space="0" w:color="auto"/>
              <w:left w:val="single" w:sz="4" w:space="0" w:color="auto"/>
              <w:bottom w:val="single" w:sz="4" w:space="0" w:color="auto"/>
              <w:right w:val="single" w:sz="4" w:space="0" w:color="auto"/>
            </w:tcBorders>
          </w:tcPr>
          <w:p w14:paraId="637ADEF5" w14:textId="77777777" w:rsidR="00204E97" w:rsidRPr="00D9232D" w:rsidRDefault="00204E97" w:rsidP="00AA0A6A">
            <w:pPr>
              <w:spacing w:after="160" w:line="360" w:lineRule="auto"/>
              <w:rPr>
                <w:sz w:val="24"/>
                <w:szCs w:val="24"/>
              </w:rPr>
            </w:pPr>
            <w:r w:rsidRPr="00D9232D">
              <w:rPr>
                <w:sz w:val="24"/>
                <w:szCs w:val="24"/>
              </w:rPr>
              <w:t>59.1</w:t>
            </w:r>
          </w:p>
        </w:tc>
        <w:tc>
          <w:tcPr>
            <w:tcW w:w="1220" w:type="dxa"/>
            <w:tcBorders>
              <w:top w:val="single" w:sz="4" w:space="0" w:color="auto"/>
              <w:left w:val="single" w:sz="4" w:space="0" w:color="auto"/>
              <w:bottom w:val="single" w:sz="4" w:space="0" w:color="auto"/>
              <w:right w:val="single" w:sz="4" w:space="0" w:color="auto"/>
            </w:tcBorders>
          </w:tcPr>
          <w:p w14:paraId="7BC8496C" w14:textId="77777777" w:rsidR="00204E97" w:rsidRPr="00D9232D" w:rsidRDefault="00204E97" w:rsidP="00AA0A6A">
            <w:pPr>
              <w:spacing w:after="160" w:line="360" w:lineRule="auto"/>
              <w:rPr>
                <w:sz w:val="24"/>
                <w:szCs w:val="24"/>
              </w:rPr>
            </w:pPr>
            <w:r w:rsidRPr="00D9232D">
              <w:rPr>
                <w:sz w:val="24"/>
                <w:szCs w:val="24"/>
              </w:rPr>
              <w:t>70.9</w:t>
            </w:r>
          </w:p>
        </w:tc>
        <w:tc>
          <w:tcPr>
            <w:tcW w:w="1174" w:type="dxa"/>
            <w:tcBorders>
              <w:top w:val="single" w:sz="4" w:space="0" w:color="auto"/>
              <w:left w:val="single" w:sz="4" w:space="0" w:color="auto"/>
              <w:bottom w:val="single" w:sz="4" w:space="0" w:color="auto"/>
              <w:right w:val="single" w:sz="4" w:space="0" w:color="auto"/>
            </w:tcBorders>
          </w:tcPr>
          <w:p w14:paraId="4DB5AE11" w14:textId="77777777" w:rsidR="00204E97" w:rsidRPr="00D9232D" w:rsidRDefault="00204E97" w:rsidP="00AA0A6A">
            <w:pPr>
              <w:spacing w:line="360" w:lineRule="auto"/>
              <w:rPr>
                <w:sz w:val="24"/>
                <w:szCs w:val="24"/>
              </w:rPr>
            </w:pPr>
            <w:r w:rsidRPr="00D9232D">
              <w:rPr>
                <w:sz w:val="24"/>
                <w:szCs w:val="24"/>
              </w:rPr>
              <w:t>21.3</w:t>
            </w:r>
          </w:p>
        </w:tc>
      </w:tr>
      <w:tr w:rsidR="00204E97" w:rsidRPr="00D9232D" w14:paraId="5088D68C"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1EA7FD9"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0C377456" w14:textId="77777777" w:rsidR="00204E97" w:rsidRPr="00D9232D" w:rsidRDefault="00204E97" w:rsidP="00AA0A6A">
            <w:pPr>
              <w:spacing w:after="160" w:line="360" w:lineRule="auto"/>
              <w:rPr>
                <w:sz w:val="24"/>
                <w:szCs w:val="24"/>
              </w:rPr>
            </w:pPr>
            <w:proofErr w:type="spellStart"/>
            <w:r w:rsidRPr="00D9232D">
              <w:rPr>
                <w:sz w:val="24"/>
                <w:szCs w:val="24"/>
              </w:rPr>
              <w:t>Moscow</w:t>
            </w:r>
            <w:proofErr w:type="spellEnd"/>
            <w:r w:rsidRPr="00D9232D">
              <w:rPr>
                <w:sz w:val="24"/>
                <w:szCs w:val="24"/>
              </w:rPr>
              <w:t xml:space="preserve"> </w:t>
            </w:r>
            <w:proofErr w:type="spellStart"/>
            <w:r w:rsidRPr="00D9232D">
              <w:rPr>
                <w:sz w:val="24"/>
                <w:szCs w:val="24"/>
              </w:rPr>
              <w:t>Region</w:t>
            </w:r>
            <w:proofErr w:type="spellEnd"/>
            <w:r w:rsidRPr="00D9232D">
              <w:rPr>
                <w:sz w:val="24"/>
                <w:szCs w:val="24"/>
              </w:rPr>
              <w:t xml:space="preserve"> (RUS)</w:t>
            </w:r>
          </w:p>
        </w:tc>
        <w:tc>
          <w:tcPr>
            <w:tcW w:w="1001" w:type="dxa"/>
            <w:tcBorders>
              <w:top w:val="single" w:sz="4" w:space="0" w:color="auto"/>
              <w:left w:val="single" w:sz="4" w:space="0" w:color="auto"/>
              <w:bottom w:val="single" w:sz="4" w:space="0" w:color="auto"/>
              <w:right w:val="single" w:sz="4" w:space="0" w:color="auto"/>
            </w:tcBorders>
          </w:tcPr>
          <w:p w14:paraId="4676CC2D" w14:textId="77777777" w:rsidR="00204E97" w:rsidRPr="00D9232D" w:rsidRDefault="00204E97" w:rsidP="00AA0A6A">
            <w:pPr>
              <w:spacing w:after="160" w:line="360" w:lineRule="auto"/>
              <w:rPr>
                <w:sz w:val="24"/>
                <w:szCs w:val="24"/>
              </w:rPr>
            </w:pPr>
            <w:r w:rsidRPr="00D9232D">
              <w:rPr>
                <w:sz w:val="24"/>
                <w:szCs w:val="24"/>
              </w:rPr>
              <w:t>1,735</w:t>
            </w:r>
          </w:p>
        </w:tc>
        <w:tc>
          <w:tcPr>
            <w:tcW w:w="936" w:type="dxa"/>
            <w:tcBorders>
              <w:top w:val="single" w:sz="4" w:space="0" w:color="auto"/>
              <w:left w:val="single" w:sz="4" w:space="0" w:color="auto"/>
              <w:bottom w:val="single" w:sz="4" w:space="0" w:color="auto"/>
              <w:right w:val="single" w:sz="4" w:space="0" w:color="auto"/>
            </w:tcBorders>
          </w:tcPr>
          <w:p w14:paraId="5683B862" w14:textId="77777777" w:rsidR="00204E97" w:rsidRPr="00D9232D" w:rsidRDefault="00204E97" w:rsidP="00AA0A6A">
            <w:pPr>
              <w:spacing w:after="160" w:line="360" w:lineRule="auto"/>
              <w:rPr>
                <w:sz w:val="24"/>
                <w:szCs w:val="24"/>
              </w:rPr>
            </w:pPr>
            <w:r w:rsidRPr="00D9232D">
              <w:rPr>
                <w:sz w:val="24"/>
                <w:szCs w:val="24"/>
              </w:rPr>
              <w:t>49.5</w:t>
            </w:r>
          </w:p>
        </w:tc>
        <w:tc>
          <w:tcPr>
            <w:tcW w:w="1203" w:type="dxa"/>
            <w:tcBorders>
              <w:top w:val="single" w:sz="4" w:space="0" w:color="auto"/>
              <w:left w:val="single" w:sz="4" w:space="0" w:color="auto"/>
              <w:bottom w:val="single" w:sz="4" w:space="0" w:color="auto"/>
              <w:right w:val="single" w:sz="4" w:space="0" w:color="auto"/>
            </w:tcBorders>
          </w:tcPr>
          <w:p w14:paraId="16455FDF" w14:textId="77777777" w:rsidR="00204E97" w:rsidRPr="00D9232D" w:rsidRDefault="00204E97" w:rsidP="00AA0A6A">
            <w:pPr>
              <w:spacing w:after="160" w:line="360" w:lineRule="auto"/>
              <w:rPr>
                <w:sz w:val="24"/>
                <w:szCs w:val="24"/>
              </w:rPr>
            </w:pPr>
            <w:r w:rsidRPr="00D9232D">
              <w:rPr>
                <w:sz w:val="24"/>
                <w:szCs w:val="24"/>
              </w:rPr>
              <w:t>69.1</w:t>
            </w:r>
          </w:p>
        </w:tc>
        <w:tc>
          <w:tcPr>
            <w:tcW w:w="1220" w:type="dxa"/>
            <w:tcBorders>
              <w:top w:val="single" w:sz="4" w:space="0" w:color="auto"/>
              <w:left w:val="single" w:sz="4" w:space="0" w:color="auto"/>
              <w:bottom w:val="single" w:sz="4" w:space="0" w:color="auto"/>
              <w:right w:val="single" w:sz="4" w:space="0" w:color="auto"/>
            </w:tcBorders>
          </w:tcPr>
          <w:p w14:paraId="7E7BA06F" w14:textId="77777777" w:rsidR="00204E97" w:rsidRPr="00D9232D" w:rsidRDefault="00204E97" w:rsidP="00AA0A6A">
            <w:pPr>
              <w:spacing w:after="160" w:line="360" w:lineRule="auto"/>
              <w:rPr>
                <w:sz w:val="24"/>
                <w:szCs w:val="24"/>
              </w:rPr>
            </w:pPr>
            <w:r w:rsidRPr="00D9232D">
              <w:rPr>
                <w:sz w:val="24"/>
                <w:szCs w:val="24"/>
              </w:rPr>
              <w:t>77.8</w:t>
            </w:r>
          </w:p>
        </w:tc>
        <w:tc>
          <w:tcPr>
            <w:tcW w:w="1174" w:type="dxa"/>
            <w:tcBorders>
              <w:top w:val="single" w:sz="4" w:space="0" w:color="auto"/>
              <w:left w:val="single" w:sz="4" w:space="0" w:color="auto"/>
              <w:bottom w:val="single" w:sz="4" w:space="0" w:color="auto"/>
              <w:right w:val="single" w:sz="4" w:space="0" w:color="auto"/>
            </w:tcBorders>
          </w:tcPr>
          <w:p w14:paraId="67C6CBE4" w14:textId="77777777" w:rsidR="00204E97" w:rsidRPr="00D9232D" w:rsidRDefault="00204E97" w:rsidP="00AA0A6A">
            <w:pPr>
              <w:spacing w:line="360" w:lineRule="auto"/>
              <w:rPr>
                <w:sz w:val="24"/>
                <w:szCs w:val="24"/>
              </w:rPr>
            </w:pPr>
            <w:r w:rsidRPr="00D9232D">
              <w:rPr>
                <w:sz w:val="24"/>
                <w:szCs w:val="24"/>
              </w:rPr>
              <w:t>32.0</w:t>
            </w:r>
          </w:p>
        </w:tc>
      </w:tr>
      <w:tr w:rsidR="00204E97" w:rsidRPr="00D9232D" w14:paraId="300B5005"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2C9BA834"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6A90A995" w14:textId="77777777" w:rsidR="00204E97" w:rsidRPr="00D9232D" w:rsidRDefault="00204E97" w:rsidP="00AA0A6A">
            <w:pPr>
              <w:spacing w:after="160" w:line="360" w:lineRule="auto"/>
              <w:rPr>
                <w:sz w:val="24"/>
                <w:szCs w:val="24"/>
              </w:rPr>
            </w:pPr>
            <w:proofErr w:type="spellStart"/>
            <w:r w:rsidRPr="00D9232D">
              <w:rPr>
                <w:sz w:val="24"/>
                <w:szCs w:val="24"/>
              </w:rPr>
              <w:t>Tatarstan</w:t>
            </w:r>
            <w:proofErr w:type="spellEnd"/>
            <w:r w:rsidRPr="00D9232D">
              <w:rPr>
                <w:sz w:val="24"/>
                <w:szCs w:val="24"/>
              </w:rPr>
              <w:t xml:space="preserve"> (RUS)</w:t>
            </w:r>
          </w:p>
        </w:tc>
        <w:tc>
          <w:tcPr>
            <w:tcW w:w="1001" w:type="dxa"/>
            <w:tcBorders>
              <w:top w:val="single" w:sz="4" w:space="0" w:color="auto"/>
              <w:left w:val="single" w:sz="4" w:space="0" w:color="auto"/>
              <w:bottom w:val="single" w:sz="4" w:space="0" w:color="auto"/>
              <w:right w:val="single" w:sz="4" w:space="0" w:color="auto"/>
            </w:tcBorders>
          </w:tcPr>
          <w:p w14:paraId="4AC69909" w14:textId="77777777" w:rsidR="00204E97" w:rsidRPr="00D9232D" w:rsidRDefault="00204E97" w:rsidP="00AA0A6A">
            <w:pPr>
              <w:spacing w:after="160" w:line="360" w:lineRule="auto"/>
              <w:rPr>
                <w:sz w:val="24"/>
                <w:szCs w:val="24"/>
              </w:rPr>
            </w:pPr>
            <w:r w:rsidRPr="00D9232D">
              <w:rPr>
                <w:sz w:val="24"/>
                <w:szCs w:val="24"/>
              </w:rPr>
              <w:t>4,715</w:t>
            </w:r>
          </w:p>
        </w:tc>
        <w:tc>
          <w:tcPr>
            <w:tcW w:w="936" w:type="dxa"/>
            <w:tcBorders>
              <w:top w:val="single" w:sz="4" w:space="0" w:color="auto"/>
              <w:left w:val="single" w:sz="4" w:space="0" w:color="auto"/>
              <w:bottom w:val="single" w:sz="4" w:space="0" w:color="auto"/>
              <w:right w:val="single" w:sz="4" w:space="0" w:color="auto"/>
            </w:tcBorders>
          </w:tcPr>
          <w:p w14:paraId="3FE9DB4A" w14:textId="77777777" w:rsidR="00204E97" w:rsidRPr="00D9232D" w:rsidRDefault="00204E97" w:rsidP="00AA0A6A">
            <w:pPr>
              <w:spacing w:after="160" w:line="360" w:lineRule="auto"/>
              <w:rPr>
                <w:sz w:val="24"/>
                <w:szCs w:val="24"/>
              </w:rPr>
            </w:pPr>
            <w:r w:rsidRPr="00D9232D">
              <w:rPr>
                <w:sz w:val="24"/>
                <w:szCs w:val="24"/>
              </w:rPr>
              <w:t>52.1</w:t>
            </w:r>
          </w:p>
        </w:tc>
        <w:tc>
          <w:tcPr>
            <w:tcW w:w="1203" w:type="dxa"/>
            <w:tcBorders>
              <w:top w:val="single" w:sz="4" w:space="0" w:color="auto"/>
              <w:left w:val="single" w:sz="4" w:space="0" w:color="auto"/>
              <w:bottom w:val="single" w:sz="4" w:space="0" w:color="auto"/>
              <w:right w:val="single" w:sz="4" w:space="0" w:color="auto"/>
            </w:tcBorders>
          </w:tcPr>
          <w:p w14:paraId="098E8ABD" w14:textId="77777777" w:rsidR="00204E97" w:rsidRPr="00D9232D" w:rsidRDefault="00204E97" w:rsidP="00AA0A6A">
            <w:pPr>
              <w:spacing w:after="160" w:line="360" w:lineRule="auto"/>
              <w:rPr>
                <w:sz w:val="24"/>
                <w:szCs w:val="24"/>
              </w:rPr>
            </w:pPr>
            <w:r w:rsidRPr="00D9232D">
              <w:rPr>
                <w:sz w:val="24"/>
                <w:szCs w:val="24"/>
              </w:rPr>
              <w:t>64.4</w:t>
            </w:r>
          </w:p>
        </w:tc>
        <w:tc>
          <w:tcPr>
            <w:tcW w:w="1220" w:type="dxa"/>
            <w:tcBorders>
              <w:top w:val="single" w:sz="4" w:space="0" w:color="auto"/>
              <w:left w:val="single" w:sz="4" w:space="0" w:color="auto"/>
              <w:bottom w:val="single" w:sz="4" w:space="0" w:color="auto"/>
              <w:right w:val="single" w:sz="4" w:space="0" w:color="auto"/>
            </w:tcBorders>
          </w:tcPr>
          <w:p w14:paraId="3C6D3ADE" w14:textId="77777777" w:rsidR="00204E97" w:rsidRPr="00D9232D" w:rsidRDefault="00204E97" w:rsidP="00AA0A6A">
            <w:pPr>
              <w:spacing w:after="160" w:line="360" w:lineRule="auto"/>
              <w:rPr>
                <w:sz w:val="24"/>
                <w:szCs w:val="24"/>
              </w:rPr>
            </w:pPr>
            <w:r w:rsidRPr="00D9232D">
              <w:rPr>
                <w:sz w:val="24"/>
                <w:szCs w:val="24"/>
              </w:rPr>
              <w:t>72.5</w:t>
            </w:r>
          </w:p>
        </w:tc>
        <w:tc>
          <w:tcPr>
            <w:tcW w:w="1174" w:type="dxa"/>
            <w:tcBorders>
              <w:top w:val="single" w:sz="4" w:space="0" w:color="auto"/>
              <w:left w:val="single" w:sz="4" w:space="0" w:color="auto"/>
              <w:bottom w:val="single" w:sz="4" w:space="0" w:color="auto"/>
              <w:right w:val="single" w:sz="4" w:space="0" w:color="auto"/>
            </w:tcBorders>
          </w:tcPr>
          <w:p w14:paraId="4578380E" w14:textId="77777777" w:rsidR="00204E97" w:rsidRPr="00D9232D" w:rsidRDefault="00204E97" w:rsidP="00AA0A6A">
            <w:pPr>
              <w:spacing w:line="360" w:lineRule="auto"/>
              <w:rPr>
                <w:sz w:val="24"/>
                <w:szCs w:val="24"/>
              </w:rPr>
            </w:pPr>
            <w:r w:rsidRPr="00D9232D">
              <w:rPr>
                <w:sz w:val="24"/>
                <w:szCs w:val="24"/>
              </w:rPr>
              <w:t>30.7</w:t>
            </w:r>
          </w:p>
        </w:tc>
      </w:tr>
      <w:tr w:rsidR="00204E97" w:rsidRPr="00D9232D" w14:paraId="6471C599"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D09AEFA" w14:textId="77777777" w:rsidR="00204E97" w:rsidRPr="00D9232D" w:rsidRDefault="00204E97" w:rsidP="00AA0A6A">
            <w:pPr>
              <w:spacing w:after="160" w:line="360" w:lineRule="auto"/>
              <w:rPr>
                <w:sz w:val="24"/>
                <w:szCs w:val="24"/>
                <w:lang w:val="en-GB"/>
              </w:rPr>
            </w:pPr>
            <w:r w:rsidRPr="00D9232D">
              <w:rPr>
                <w:sz w:val="24"/>
                <w:szCs w:val="24"/>
                <w:lang w:val="en-GB"/>
              </w:rPr>
              <w:t>South-East Asian &amp; Western Pacific</w:t>
            </w:r>
          </w:p>
        </w:tc>
        <w:tc>
          <w:tcPr>
            <w:tcW w:w="1426" w:type="dxa"/>
            <w:tcBorders>
              <w:top w:val="single" w:sz="4" w:space="0" w:color="auto"/>
              <w:left w:val="single" w:sz="4" w:space="0" w:color="auto"/>
              <w:bottom w:val="single" w:sz="4" w:space="0" w:color="auto"/>
              <w:right w:val="single" w:sz="4" w:space="0" w:color="auto"/>
            </w:tcBorders>
          </w:tcPr>
          <w:p w14:paraId="378A7A86" w14:textId="77777777" w:rsidR="00204E97" w:rsidRPr="00D9232D" w:rsidRDefault="00204E97" w:rsidP="00AA0A6A">
            <w:pPr>
              <w:spacing w:after="160" w:line="360" w:lineRule="auto"/>
              <w:rPr>
                <w:sz w:val="24"/>
                <w:szCs w:val="24"/>
              </w:rPr>
            </w:pPr>
            <w:r w:rsidRPr="00D9232D">
              <w:rPr>
                <w:sz w:val="24"/>
                <w:szCs w:val="24"/>
              </w:rPr>
              <w:t>Australia</w:t>
            </w:r>
          </w:p>
        </w:tc>
        <w:tc>
          <w:tcPr>
            <w:tcW w:w="1001" w:type="dxa"/>
            <w:tcBorders>
              <w:top w:val="single" w:sz="4" w:space="0" w:color="auto"/>
              <w:left w:val="single" w:sz="4" w:space="0" w:color="auto"/>
              <w:bottom w:val="single" w:sz="4" w:space="0" w:color="auto"/>
              <w:right w:val="single" w:sz="4" w:space="0" w:color="auto"/>
            </w:tcBorders>
          </w:tcPr>
          <w:p w14:paraId="568B2804" w14:textId="77777777" w:rsidR="00204E97" w:rsidRPr="00D9232D" w:rsidRDefault="00204E97" w:rsidP="00AA0A6A">
            <w:pPr>
              <w:spacing w:after="160" w:line="360" w:lineRule="auto"/>
              <w:rPr>
                <w:sz w:val="24"/>
                <w:szCs w:val="24"/>
              </w:rPr>
            </w:pPr>
            <w:r w:rsidRPr="00D9232D">
              <w:rPr>
                <w:sz w:val="24"/>
                <w:szCs w:val="24"/>
              </w:rPr>
              <w:t>10.922</w:t>
            </w:r>
          </w:p>
        </w:tc>
        <w:tc>
          <w:tcPr>
            <w:tcW w:w="936" w:type="dxa"/>
            <w:tcBorders>
              <w:top w:val="single" w:sz="4" w:space="0" w:color="auto"/>
              <w:left w:val="single" w:sz="4" w:space="0" w:color="auto"/>
              <w:bottom w:val="single" w:sz="4" w:space="0" w:color="auto"/>
              <w:right w:val="single" w:sz="4" w:space="0" w:color="auto"/>
            </w:tcBorders>
          </w:tcPr>
          <w:p w14:paraId="338B0A47" w14:textId="77777777" w:rsidR="00204E97" w:rsidRPr="00D9232D" w:rsidRDefault="00204E97" w:rsidP="00AA0A6A">
            <w:pPr>
              <w:spacing w:after="160" w:line="360" w:lineRule="auto"/>
              <w:rPr>
                <w:sz w:val="24"/>
                <w:szCs w:val="24"/>
              </w:rPr>
            </w:pPr>
            <w:r w:rsidRPr="00D9232D">
              <w:rPr>
                <w:sz w:val="24"/>
                <w:szCs w:val="24"/>
              </w:rPr>
              <w:t>50.1</w:t>
            </w:r>
          </w:p>
        </w:tc>
        <w:tc>
          <w:tcPr>
            <w:tcW w:w="1203" w:type="dxa"/>
            <w:tcBorders>
              <w:top w:val="single" w:sz="4" w:space="0" w:color="auto"/>
              <w:left w:val="single" w:sz="4" w:space="0" w:color="auto"/>
              <w:bottom w:val="single" w:sz="4" w:space="0" w:color="auto"/>
              <w:right w:val="single" w:sz="4" w:space="0" w:color="auto"/>
            </w:tcBorders>
          </w:tcPr>
          <w:p w14:paraId="7816240D" w14:textId="77777777" w:rsidR="00204E97" w:rsidRPr="00D9232D" w:rsidRDefault="00204E97" w:rsidP="00AA0A6A">
            <w:pPr>
              <w:spacing w:after="160" w:line="360" w:lineRule="auto"/>
              <w:rPr>
                <w:sz w:val="24"/>
                <w:szCs w:val="24"/>
              </w:rPr>
            </w:pPr>
            <w:r w:rsidRPr="00D9232D">
              <w:rPr>
                <w:sz w:val="24"/>
                <w:szCs w:val="24"/>
              </w:rPr>
              <w:t>76.7</w:t>
            </w:r>
          </w:p>
        </w:tc>
        <w:tc>
          <w:tcPr>
            <w:tcW w:w="1220" w:type="dxa"/>
            <w:tcBorders>
              <w:top w:val="single" w:sz="4" w:space="0" w:color="auto"/>
              <w:left w:val="single" w:sz="4" w:space="0" w:color="auto"/>
              <w:bottom w:val="single" w:sz="4" w:space="0" w:color="auto"/>
              <w:right w:val="single" w:sz="4" w:space="0" w:color="auto"/>
            </w:tcBorders>
          </w:tcPr>
          <w:p w14:paraId="0471F3E6" w14:textId="77777777" w:rsidR="00204E97" w:rsidRPr="00D9232D" w:rsidRDefault="00204E97" w:rsidP="00AA0A6A">
            <w:pPr>
              <w:spacing w:after="160" w:line="360" w:lineRule="auto"/>
              <w:rPr>
                <w:sz w:val="24"/>
                <w:szCs w:val="24"/>
              </w:rPr>
            </w:pPr>
            <w:r w:rsidRPr="00D9232D">
              <w:rPr>
                <w:sz w:val="24"/>
                <w:szCs w:val="24"/>
              </w:rPr>
              <w:t>83.2</w:t>
            </w:r>
          </w:p>
        </w:tc>
        <w:tc>
          <w:tcPr>
            <w:tcW w:w="1174" w:type="dxa"/>
            <w:tcBorders>
              <w:top w:val="single" w:sz="4" w:space="0" w:color="auto"/>
              <w:left w:val="single" w:sz="4" w:space="0" w:color="auto"/>
              <w:bottom w:val="single" w:sz="4" w:space="0" w:color="auto"/>
              <w:right w:val="single" w:sz="4" w:space="0" w:color="auto"/>
            </w:tcBorders>
          </w:tcPr>
          <w:p w14:paraId="22A664B2" w14:textId="77777777" w:rsidR="00204E97" w:rsidRPr="00D9232D" w:rsidRDefault="00204E97" w:rsidP="00AA0A6A">
            <w:pPr>
              <w:spacing w:line="360" w:lineRule="auto"/>
              <w:rPr>
                <w:sz w:val="24"/>
                <w:szCs w:val="24"/>
              </w:rPr>
            </w:pPr>
            <w:r w:rsidRPr="00D9232D">
              <w:rPr>
                <w:sz w:val="24"/>
                <w:szCs w:val="24"/>
              </w:rPr>
              <w:t>47.1</w:t>
            </w:r>
          </w:p>
        </w:tc>
      </w:tr>
      <w:tr w:rsidR="00204E97" w:rsidRPr="00D9232D" w14:paraId="43691BC6"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BB65C9D"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1E0BF1AB" w14:textId="77777777" w:rsidR="00204E97" w:rsidRPr="00D9232D" w:rsidRDefault="00204E97" w:rsidP="00AA0A6A">
            <w:pPr>
              <w:spacing w:after="160" w:line="360" w:lineRule="auto"/>
              <w:rPr>
                <w:sz w:val="24"/>
                <w:szCs w:val="24"/>
              </w:rPr>
            </w:pPr>
            <w:r w:rsidRPr="00D9232D">
              <w:rPr>
                <w:sz w:val="24"/>
                <w:szCs w:val="24"/>
              </w:rPr>
              <w:t>Brunei Darussalam</w:t>
            </w:r>
          </w:p>
        </w:tc>
        <w:tc>
          <w:tcPr>
            <w:tcW w:w="1001" w:type="dxa"/>
            <w:tcBorders>
              <w:top w:val="single" w:sz="4" w:space="0" w:color="auto"/>
              <w:left w:val="single" w:sz="4" w:space="0" w:color="auto"/>
              <w:bottom w:val="single" w:sz="4" w:space="0" w:color="auto"/>
              <w:right w:val="single" w:sz="4" w:space="0" w:color="auto"/>
            </w:tcBorders>
          </w:tcPr>
          <w:p w14:paraId="4B42DFB3" w14:textId="77777777" w:rsidR="00204E97" w:rsidRPr="00D9232D" w:rsidRDefault="00204E97" w:rsidP="00AA0A6A">
            <w:pPr>
              <w:spacing w:after="160" w:line="360" w:lineRule="auto"/>
              <w:rPr>
                <w:sz w:val="24"/>
                <w:szCs w:val="24"/>
              </w:rPr>
            </w:pPr>
            <w:r w:rsidRPr="00D9232D">
              <w:rPr>
                <w:sz w:val="24"/>
                <w:szCs w:val="24"/>
              </w:rPr>
              <w:t>5,590</w:t>
            </w:r>
          </w:p>
        </w:tc>
        <w:tc>
          <w:tcPr>
            <w:tcW w:w="936" w:type="dxa"/>
            <w:tcBorders>
              <w:top w:val="single" w:sz="4" w:space="0" w:color="auto"/>
              <w:left w:val="single" w:sz="4" w:space="0" w:color="auto"/>
              <w:bottom w:val="single" w:sz="4" w:space="0" w:color="auto"/>
              <w:right w:val="single" w:sz="4" w:space="0" w:color="auto"/>
            </w:tcBorders>
          </w:tcPr>
          <w:p w14:paraId="5F8CA0CE" w14:textId="77777777" w:rsidR="00204E97" w:rsidRPr="00D9232D" w:rsidRDefault="00204E97" w:rsidP="00AA0A6A">
            <w:pPr>
              <w:spacing w:after="160" w:line="360" w:lineRule="auto"/>
              <w:rPr>
                <w:sz w:val="24"/>
                <w:szCs w:val="24"/>
              </w:rPr>
            </w:pPr>
            <w:r w:rsidRPr="00D9232D">
              <w:rPr>
                <w:sz w:val="24"/>
                <w:szCs w:val="24"/>
              </w:rPr>
              <w:t>50.8</w:t>
            </w:r>
          </w:p>
        </w:tc>
        <w:tc>
          <w:tcPr>
            <w:tcW w:w="1203" w:type="dxa"/>
            <w:tcBorders>
              <w:top w:val="single" w:sz="4" w:space="0" w:color="auto"/>
              <w:left w:val="single" w:sz="4" w:space="0" w:color="auto"/>
              <w:bottom w:val="single" w:sz="4" w:space="0" w:color="auto"/>
              <w:right w:val="single" w:sz="4" w:space="0" w:color="auto"/>
            </w:tcBorders>
          </w:tcPr>
          <w:p w14:paraId="3101E351" w14:textId="77777777" w:rsidR="00204E97" w:rsidRPr="00D9232D" w:rsidRDefault="00204E97" w:rsidP="00AA0A6A">
            <w:pPr>
              <w:spacing w:after="160" w:line="360" w:lineRule="auto"/>
              <w:rPr>
                <w:sz w:val="24"/>
                <w:szCs w:val="24"/>
              </w:rPr>
            </w:pPr>
            <w:r w:rsidRPr="00D9232D">
              <w:rPr>
                <w:sz w:val="24"/>
                <w:szCs w:val="24"/>
              </w:rPr>
              <w:t>68.1</w:t>
            </w:r>
          </w:p>
        </w:tc>
        <w:tc>
          <w:tcPr>
            <w:tcW w:w="1220" w:type="dxa"/>
            <w:tcBorders>
              <w:top w:val="single" w:sz="4" w:space="0" w:color="auto"/>
              <w:left w:val="single" w:sz="4" w:space="0" w:color="auto"/>
              <w:bottom w:val="single" w:sz="4" w:space="0" w:color="auto"/>
              <w:right w:val="single" w:sz="4" w:space="0" w:color="auto"/>
            </w:tcBorders>
          </w:tcPr>
          <w:p w14:paraId="307A6428" w14:textId="77777777" w:rsidR="00204E97" w:rsidRPr="00D9232D" w:rsidRDefault="00204E97" w:rsidP="00AA0A6A">
            <w:pPr>
              <w:spacing w:after="160" w:line="360" w:lineRule="auto"/>
              <w:rPr>
                <w:sz w:val="24"/>
                <w:szCs w:val="24"/>
              </w:rPr>
            </w:pPr>
            <w:r w:rsidRPr="00D9232D">
              <w:rPr>
                <w:sz w:val="24"/>
                <w:szCs w:val="24"/>
              </w:rPr>
              <w:t>71.3</w:t>
            </w:r>
          </w:p>
        </w:tc>
        <w:tc>
          <w:tcPr>
            <w:tcW w:w="1174" w:type="dxa"/>
            <w:tcBorders>
              <w:top w:val="single" w:sz="4" w:space="0" w:color="auto"/>
              <w:left w:val="single" w:sz="4" w:space="0" w:color="auto"/>
              <w:bottom w:val="single" w:sz="4" w:space="0" w:color="auto"/>
              <w:right w:val="single" w:sz="4" w:space="0" w:color="auto"/>
            </w:tcBorders>
          </w:tcPr>
          <w:p w14:paraId="6261222E" w14:textId="77777777" w:rsidR="00204E97" w:rsidRPr="00D9232D" w:rsidRDefault="00204E97" w:rsidP="00AA0A6A">
            <w:pPr>
              <w:spacing w:line="360" w:lineRule="auto"/>
              <w:rPr>
                <w:sz w:val="24"/>
                <w:szCs w:val="24"/>
              </w:rPr>
            </w:pPr>
            <w:r w:rsidRPr="00D9232D">
              <w:rPr>
                <w:sz w:val="24"/>
                <w:szCs w:val="24"/>
              </w:rPr>
              <w:t>6.8</w:t>
            </w:r>
          </w:p>
        </w:tc>
      </w:tr>
      <w:tr w:rsidR="00204E97" w:rsidRPr="00D9232D" w14:paraId="3A1A9DC7"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25B4556"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727FB5E0" w14:textId="77777777" w:rsidR="00204E97" w:rsidRPr="00D9232D" w:rsidRDefault="00204E97" w:rsidP="00AA0A6A">
            <w:pPr>
              <w:spacing w:after="160" w:line="360" w:lineRule="auto"/>
              <w:rPr>
                <w:sz w:val="24"/>
                <w:szCs w:val="24"/>
              </w:rPr>
            </w:pPr>
            <w:proofErr w:type="spellStart"/>
            <w:r w:rsidRPr="00D9232D">
              <w:rPr>
                <w:sz w:val="24"/>
                <w:szCs w:val="24"/>
              </w:rPr>
              <w:t>Chinese</w:t>
            </w:r>
            <w:proofErr w:type="spellEnd"/>
            <w:r w:rsidRPr="00D9232D">
              <w:rPr>
                <w:sz w:val="24"/>
                <w:szCs w:val="24"/>
              </w:rPr>
              <w:t xml:space="preserve"> </w:t>
            </w:r>
            <w:proofErr w:type="spellStart"/>
            <w:r w:rsidRPr="00D9232D">
              <w:rPr>
                <w:sz w:val="24"/>
                <w:szCs w:val="24"/>
              </w:rPr>
              <w:t>Taipei</w:t>
            </w:r>
            <w:proofErr w:type="spellEnd"/>
          </w:p>
        </w:tc>
        <w:tc>
          <w:tcPr>
            <w:tcW w:w="1001" w:type="dxa"/>
            <w:tcBorders>
              <w:top w:val="single" w:sz="4" w:space="0" w:color="auto"/>
              <w:left w:val="single" w:sz="4" w:space="0" w:color="auto"/>
              <w:bottom w:val="single" w:sz="4" w:space="0" w:color="auto"/>
              <w:right w:val="single" w:sz="4" w:space="0" w:color="auto"/>
            </w:tcBorders>
          </w:tcPr>
          <w:p w14:paraId="28715713" w14:textId="77777777" w:rsidR="00204E97" w:rsidRPr="00D9232D" w:rsidRDefault="00204E97" w:rsidP="00AA0A6A">
            <w:pPr>
              <w:spacing w:after="160" w:line="360" w:lineRule="auto"/>
              <w:rPr>
                <w:sz w:val="24"/>
                <w:szCs w:val="24"/>
              </w:rPr>
            </w:pPr>
            <w:r w:rsidRPr="00D9232D">
              <w:rPr>
                <w:sz w:val="24"/>
                <w:szCs w:val="24"/>
              </w:rPr>
              <w:t>6,499</w:t>
            </w:r>
          </w:p>
        </w:tc>
        <w:tc>
          <w:tcPr>
            <w:tcW w:w="936" w:type="dxa"/>
            <w:tcBorders>
              <w:top w:val="single" w:sz="4" w:space="0" w:color="auto"/>
              <w:left w:val="single" w:sz="4" w:space="0" w:color="auto"/>
              <w:bottom w:val="single" w:sz="4" w:space="0" w:color="auto"/>
              <w:right w:val="single" w:sz="4" w:space="0" w:color="auto"/>
            </w:tcBorders>
          </w:tcPr>
          <w:p w14:paraId="1F2641C1" w14:textId="77777777" w:rsidR="00204E97" w:rsidRPr="00D9232D" w:rsidRDefault="00204E97" w:rsidP="00AA0A6A">
            <w:pPr>
              <w:spacing w:after="160" w:line="360" w:lineRule="auto"/>
              <w:rPr>
                <w:sz w:val="24"/>
                <w:szCs w:val="24"/>
              </w:rPr>
            </w:pPr>
            <w:r w:rsidRPr="00D9232D">
              <w:rPr>
                <w:sz w:val="24"/>
                <w:szCs w:val="24"/>
              </w:rPr>
              <w:t>50.0</w:t>
            </w:r>
          </w:p>
        </w:tc>
        <w:tc>
          <w:tcPr>
            <w:tcW w:w="1203" w:type="dxa"/>
            <w:tcBorders>
              <w:top w:val="single" w:sz="4" w:space="0" w:color="auto"/>
              <w:left w:val="single" w:sz="4" w:space="0" w:color="auto"/>
              <w:bottom w:val="single" w:sz="4" w:space="0" w:color="auto"/>
              <w:right w:val="single" w:sz="4" w:space="0" w:color="auto"/>
            </w:tcBorders>
          </w:tcPr>
          <w:p w14:paraId="19B55864" w14:textId="77777777" w:rsidR="00204E97" w:rsidRPr="00D9232D" w:rsidRDefault="00204E97" w:rsidP="00AA0A6A">
            <w:pPr>
              <w:spacing w:after="160" w:line="360" w:lineRule="auto"/>
              <w:rPr>
                <w:sz w:val="24"/>
                <w:szCs w:val="24"/>
              </w:rPr>
            </w:pPr>
            <w:r w:rsidRPr="00D9232D">
              <w:rPr>
                <w:sz w:val="24"/>
                <w:szCs w:val="24"/>
              </w:rPr>
              <w:t>55.7</w:t>
            </w:r>
          </w:p>
        </w:tc>
        <w:tc>
          <w:tcPr>
            <w:tcW w:w="1220" w:type="dxa"/>
            <w:tcBorders>
              <w:top w:val="single" w:sz="4" w:space="0" w:color="auto"/>
              <w:left w:val="single" w:sz="4" w:space="0" w:color="auto"/>
              <w:bottom w:val="single" w:sz="4" w:space="0" w:color="auto"/>
              <w:right w:val="single" w:sz="4" w:space="0" w:color="auto"/>
            </w:tcBorders>
          </w:tcPr>
          <w:p w14:paraId="5D0CAE8C" w14:textId="77777777" w:rsidR="00204E97" w:rsidRPr="00D9232D" w:rsidRDefault="00204E97" w:rsidP="00AA0A6A">
            <w:pPr>
              <w:spacing w:after="160" w:line="360" w:lineRule="auto"/>
              <w:rPr>
                <w:sz w:val="24"/>
                <w:szCs w:val="24"/>
              </w:rPr>
            </w:pPr>
            <w:r w:rsidRPr="00D9232D">
              <w:rPr>
                <w:sz w:val="24"/>
                <w:szCs w:val="24"/>
              </w:rPr>
              <w:t>78.4</w:t>
            </w:r>
          </w:p>
        </w:tc>
        <w:tc>
          <w:tcPr>
            <w:tcW w:w="1174" w:type="dxa"/>
            <w:tcBorders>
              <w:top w:val="single" w:sz="4" w:space="0" w:color="auto"/>
              <w:left w:val="single" w:sz="4" w:space="0" w:color="auto"/>
              <w:bottom w:val="single" w:sz="4" w:space="0" w:color="auto"/>
              <w:right w:val="single" w:sz="4" w:space="0" w:color="auto"/>
            </w:tcBorders>
          </w:tcPr>
          <w:p w14:paraId="4A910FDE" w14:textId="77777777" w:rsidR="00204E97" w:rsidRPr="00D9232D" w:rsidRDefault="00204E97" w:rsidP="00AA0A6A">
            <w:pPr>
              <w:spacing w:line="360" w:lineRule="auto"/>
              <w:rPr>
                <w:sz w:val="24"/>
                <w:szCs w:val="24"/>
              </w:rPr>
            </w:pPr>
            <w:r w:rsidRPr="00D9232D">
              <w:rPr>
                <w:sz w:val="24"/>
                <w:szCs w:val="24"/>
              </w:rPr>
              <w:t>20.1</w:t>
            </w:r>
          </w:p>
        </w:tc>
      </w:tr>
      <w:tr w:rsidR="00204E97" w:rsidRPr="00D9232D" w14:paraId="3679F2E2"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2A23A4E0"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478E717" w14:textId="77777777" w:rsidR="00204E97" w:rsidRPr="00D9232D" w:rsidRDefault="00204E97" w:rsidP="00AA0A6A">
            <w:pPr>
              <w:spacing w:after="160" w:line="360" w:lineRule="auto"/>
              <w:rPr>
                <w:sz w:val="24"/>
                <w:szCs w:val="24"/>
              </w:rPr>
            </w:pPr>
            <w:r w:rsidRPr="00D9232D">
              <w:rPr>
                <w:sz w:val="24"/>
                <w:szCs w:val="24"/>
              </w:rPr>
              <w:t>Hong Kong</w:t>
            </w:r>
          </w:p>
        </w:tc>
        <w:tc>
          <w:tcPr>
            <w:tcW w:w="1001" w:type="dxa"/>
            <w:tcBorders>
              <w:top w:val="single" w:sz="4" w:space="0" w:color="auto"/>
              <w:left w:val="single" w:sz="4" w:space="0" w:color="auto"/>
              <w:bottom w:val="single" w:sz="4" w:space="0" w:color="auto"/>
              <w:right w:val="single" w:sz="4" w:space="0" w:color="auto"/>
            </w:tcBorders>
          </w:tcPr>
          <w:p w14:paraId="1D461C4C" w14:textId="77777777" w:rsidR="00204E97" w:rsidRPr="00D9232D" w:rsidRDefault="00204E97" w:rsidP="00AA0A6A">
            <w:pPr>
              <w:spacing w:after="160" w:line="360" w:lineRule="auto"/>
              <w:rPr>
                <w:sz w:val="24"/>
                <w:szCs w:val="24"/>
              </w:rPr>
            </w:pPr>
            <w:r w:rsidRPr="00D9232D">
              <w:rPr>
                <w:sz w:val="24"/>
                <w:szCs w:val="24"/>
              </w:rPr>
              <w:t>5,401</w:t>
            </w:r>
          </w:p>
        </w:tc>
        <w:tc>
          <w:tcPr>
            <w:tcW w:w="936" w:type="dxa"/>
            <w:tcBorders>
              <w:top w:val="single" w:sz="4" w:space="0" w:color="auto"/>
              <w:left w:val="single" w:sz="4" w:space="0" w:color="auto"/>
              <w:bottom w:val="single" w:sz="4" w:space="0" w:color="auto"/>
              <w:right w:val="single" w:sz="4" w:space="0" w:color="auto"/>
            </w:tcBorders>
          </w:tcPr>
          <w:p w14:paraId="25B85944" w14:textId="77777777" w:rsidR="00204E97" w:rsidRPr="00D9232D" w:rsidRDefault="00204E97" w:rsidP="00AA0A6A">
            <w:pPr>
              <w:spacing w:after="160" w:line="360" w:lineRule="auto"/>
              <w:rPr>
                <w:sz w:val="24"/>
                <w:szCs w:val="24"/>
              </w:rPr>
            </w:pPr>
            <w:r w:rsidRPr="00D9232D">
              <w:rPr>
                <w:sz w:val="24"/>
                <w:szCs w:val="24"/>
              </w:rPr>
              <w:t>50.3</w:t>
            </w:r>
          </w:p>
        </w:tc>
        <w:tc>
          <w:tcPr>
            <w:tcW w:w="1203" w:type="dxa"/>
            <w:tcBorders>
              <w:top w:val="single" w:sz="4" w:space="0" w:color="auto"/>
              <w:left w:val="single" w:sz="4" w:space="0" w:color="auto"/>
              <w:bottom w:val="single" w:sz="4" w:space="0" w:color="auto"/>
              <w:right w:val="single" w:sz="4" w:space="0" w:color="auto"/>
            </w:tcBorders>
          </w:tcPr>
          <w:p w14:paraId="2C454E63" w14:textId="77777777" w:rsidR="00204E97" w:rsidRPr="00D9232D" w:rsidRDefault="00204E97" w:rsidP="00AA0A6A">
            <w:pPr>
              <w:spacing w:after="160" w:line="360" w:lineRule="auto"/>
              <w:rPr>
                <w:sz w:val="24"/>
                <w:szCs w:val="24"/>
              </w:rPr>
            </w:pPr>
            <w:r w:rsidRPr="00D9232D">
              <w:rPr>
                <w:sz w:val="24"/>
                <w:szCs w:val="24"/>
              </w:rPr>
              <w:t>66.2</w:t>
            </w:r>
          </w:p>
        </w:tc>
        <w:tc>
          <w:tcPr>
            <w:tcW w:w="1220" w:type="dxa"/>
            <w:tcBorders>
              <w:top w:val="single" w:sz="4" w:space="0" w:color="auto"/>
              <w:left w:val="single" w:sz="4" w:space="0" w:color="auto"/>
              <w:bottom w:val="single" w:sz="4" w:space="0" w:color="auto"/>
              <w:right w:val="single" w:sz="4" w:space="0" w:color="auto"/>
            </w:tcBorders>
          </w:tcPr>
          <w:p w14:paraId="79DCE6C8" w14:textId="77777777" w:rsidR="00204E97" w:rsidRPr="00D9232D" w:rsidRDefault="00204E97" w:rsidP="00AA0A6A">
            <w:pPr>
              <w:spacing w:after="160" w:line="360" w:lineRule="auto"/>
              <w:rPr>
                <w:sz w:val="24"/>
                <w:szCs w:val="24"/>
              </w:rPr>
            </w:pPr>
            <w:r w:rsidRPr="00D9232D">
              <w:rPr>
                <w:sz w:val="24"/>
                <w:szCs w:val="24"/>
              </w:rPr>
              <w:t>78.9</w:t>
            </w:r>
          </w:p>
        </w:tc>
        <w:tc>
          <w:tcPr>
            <w:tcW w:w="1174" w:type="dxa"/>
            <w:tcBorders>
              <w:top w:val="single" w:sz="4" w:space="0" w:color="auto"/>
              <w:left w:val="single" w:sz="4" w:space="0" w:color="auto"/>
              <w:bottom w:val="single" w:sz="4" w:space="0" w:color="auto"/>
              <w:right w:val="single" w:sz="4" w:space="0" w:color="auto"/>
            </w:tcBorders>
          </w:tcPr>
          <w:p w14:paraId="2A8E770D" w14:textId="77777777" w:rsidR="00204E97" w:rsidRPr="00D9232D" w:rsidRDefault="00204E97" w:rsidP="00AA0A6A">
            <w:pPr>
              <w:spacing w:line="360" w:lineRule="auto"/>
              <w:rPr>
                <w:sz w:val="24"/>
                <w:szCs w:val="24"/>
              </w:rPr>
            </w:pPr>
            <w:r w:rsidRPr="00D9232D">
              <w:rPr>
                <w:sz w:val="24"/>
                <w:szCs w:val="24"/>
              </w:rPr>
              <w:t>8.7</w:t>
            </w:r>
          </w:p>
        </w:tc>
      </w:tr>
      <w:tr w:rsidR="00204E97" w:rsidRPr="00D9232D" w14:paraId="3C7F486F"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F6794AD"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43BFA31D" w14:textId="77777777" w:rsidR="00204E97" w:rsidRPr="00D9232D" w:rsidRDefault="00204E97" w:rsidP="00AA0A6A">
            <w:pPr>
              <w:spacing w:after="160" w:line="360" w:lineRule="auto"/>
              <w:rPr>
                <w:sz w:val="24"/>
                <w:szCs w:val="24"/>
              </w:rPr>
            </w:pPr>
            <w:proofErr w:type="spellStart"/>
            <w:r w:rsidRPr="00D9232D">
              <w:rPr>
                <w:sz w:val="24"/>
                <w:szCs w:val="24"/>
              </w:rPr>
              <w:t>Japan</w:t>
            </w:r>
            <w:proofErr w:type="spellEnd"/>
          </w:p>
        </w:tc>
        <w:tc>
          <w:tcPr>
            <w:tcW w:w="1001" w:type="dxa"/>
            <w:tcBorders>
              <w:top w:val="single" w:sz="4" w:space="0" w:color="auto"/>
              <w:left w:val="single" w:sz="4" w:space="0" w:color="auto"/>
              <w:bottom w:val="single" w:sz="4" w:space="0" w:color="auto"/>
              <w:right w:val="single" w:sz="4" w:space="0" w:color="auto"/>
            </w:tcBorders>
          </w:tcPr>
          <w:p w14:paraId="29E16987" w14:textId="77777777" w:rsidR="00204E97" w:rsidRPr="00D9232D" w:rsidRDefault="00204E97" w:rsidP="00AA0A6A">
            <w:pPr>
              <w:spacing w:after="160" w:line="360" w:lineRule="auto"/>
              <w:rPr>
                <w:sz w:val="24"/>
                <w:szCs w:val="24"/>
              </w:rPr>
            </w:pPr>
            <w:r w:rsidRPr="00D9232D">
              <w:rPr>
                <w:sz w:val="24"/>
                <w:szCs w:val="24"/>
              </w:rPr>
              <w:t>5,625</w:t>
            </w:r>
          </w:p>
        </w:tc>
        <w:tc>
          <w:tcPr>
            <w:tcW w:w="936" w:type="dxa"/>
            <w:tcBorders>
              <w:top w:val="single" w:sz="4" w:space="0" w:color="auto"/>
              <w:left w:val="single" w:sz="4" w:space="0" w:color="auto"/>
              <w:bottom w:val="single" w:sz="4" w:space="0" w:color="auto"/>
              <w:right w:val="single" w:sz="4" w:space="0" w:color="auto"/>
            </w:tcBorders>
          </w:tcPr>
          <w:p w14:paraId="479A194A" w14:textId="77777777" w:rsidR="00204E97" w:rsidRPr="00D9232D" w:rsidRDefault="00204E97" w:rsidP="00AA0A6A">
            <w:pPr>
              <w:spacing w:after="160" w:line="360" w:lineRule="auto"/>
              <w:rPr>
                <w:sz w:val="24"/>
                <w:szCs w:val="24"/>
              </w:rPr>
            </w:pPr>
            <w:r w:rsidRPr="00D9232D">
              <w:rPr>
                <w:sz w:val="24"/>
                <w:szCs w:val="24"/>
              </w:rPr>
              <w:t>51.0</w:t>
            </w:r>
          </w:p>
        </w:tc>
        <w:tc>
          <w:tcPr>
            <w:tcW w:w="1203" w:type="dxa"/>
            <w:tcBorders>
              <w:top w:val="single" w:sz="4" w:space="0" w:color="auto"/>
              <w:left w:val="single" w:sz="4" w:space="0" w:color="auto"/>
              <w:bottom w:val="single" w:sz="4" w:space="0" w:color="auto"/>
              <w:right w:val="single" w:sz="4" w:space="0" w:color="auto"/>
            </w:tcBorders>
          </w:tcPr>
          <w:p w14:paraId="7DC8FD07" w14:textId="77777777" w:rsidR="00204E97" w:rsidRPr="00D9232D" w:rsidRDefault="00204E97" w:rsidP="00AA0A6A">
            <w:pPr>
              <w:spacing w:after="160" w:line="360" w:lineRule="auto"/>
              <w:rPr>
                <w:sz w:val="24"/>
                <w:szCs w:val="24"/>
              </w:rPr>
            </w:pPr>
            <w:r w:rsidRPr="00D9232D">
              <w:rPr>
                <w:sz w:val="24"/>
                <w:szCs w:val="24"/>
              </w:rPr>
              <w:t>48.1</w:t>
            </w:r>
          </w:p>
        </w:tc>
        <w:tc>
          <w:tcPr>
            <w:tcW w:w="1220" w:type="dxa"/>
            <w:tcBorders>
              <w:top w:val="single" w:sz="4" w:space="0" w:color="auto"/>
              <w:left w:val="single" w:sz="4" w:space="0" w:color="auto"/>
              <w:bottom w:val="single" w:sz="4" w:space="0" w:color="auto"/>
              <w:right w:val="single" w:sz="4" w:space="0" w:color="auto"/>
            </w:tcBorders>
          </w:tcPr>
          <w:p w14:paraId="229FEAE2" w14:textId="77777777" w:rsidR="00204E97" w:rsidRPr="00D9232D" w:rsidRDefault="00204E97" w:rsidP="00AA0A6A">
            <w:pPr>
              <w:spacing w:after="160" w:line="360" w:lineRule="auto"/>
              <w:rPr>
                <w:sz w:val="24"/>
                <w:szCs w:val="24"/>
              </w:rPr>
            </w:pPr>
            <w:r w:rsidRPr="00D9232D">
              <w:rPr>
                <w:sz w:val="24"/>
                <w:szCs w:val="24"/>
              </w:rPr>
              <w:t>73.4</w:t>
            </w:r>
          </w:p>
        </w:tc>
        <w:tc>
          <w:tcPr>
            <w:tcW w:w="1174" w:type="dxa"/>
            <w:tcBorders>
              <w:top w:val="single" w:sz="4" w:space="0" w:color="auto"/>
              <w:left w:val="single" w:sz="4" w:space="0" w:color="auto"/>
              <w:bottom w:val="single" w:sz="4" w:space="0" w:color="auto"/>
              <w:right w:val="single" w:sz="4" w:space="0" w:color="auto"/>
            </w:tcBorders>
          </w:tcPr>
          <w:p w14:paraId="6C02A4F5" w14:textId="77777777" w:rsidR="00204E97" w:rsidRPr="00D9232D" w:rsidRDefault="00204E97" w:rsidP="00AA0A6A">
            <w:pPr>
              <w:spacing w:line="360" w:lineRule="auto"/>
              <w:rPr>
                <w:sz w:val="24"/>
                <w:szCs w:val="24"/>
              </w:rPr>
            </w:pPr>
            <w:r w:rsidRPr="00D9232D">
              <w:rPr>
                <w:sz w:val="24"/>
                <w:szCs w:val="24"/>
              </w:rPr>
              <w:t>7.7</w:t>
            </w:r>
          </w:p>
        </w:tc>
      </w:tr>
      <w:tr w:rsidR="00204E97" w:rsidRPr="00D9232D" w14:paraId="137971E6"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7A0AA6DC"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05B02C47" w14:textId="77777777" w:rsidR="00204E97" w:rsidRPr="00D9232D" w:rsidRDefault="00204E97" w:rsidP="00AA0A6A">
            <w:pPr>
              <w:spacing w:after="160" w:line="360" w:lineRule="auto"/>
              <w:rPr>
                <w:sz w:val="24"/>
                <w:szCs w:val="24"/>
              </w:rPr>
            </w:pPr>
            <w:proofErr w:type="spellStart"/>
            <w:r w:rsidRPr="00D9232D">
              <w:rPr>
                <w:sz w:val="24"/>
                <w:szCs w:val="24"/>
              </w:rPr>
              <w:t>Korea</w:t>
            </w:r>
            <w:proofErr w:type="spellEnd"/>
          </w:p>
        </w:tc>
        <w:tc>
          <w:tcPr>
            <w:tcW w:w="1001" w:type="dxa"/>
            <w:tcBorders>
              <w:top w:val="single" w:sz="4" w:space="0" w:color="auto"/>
              <w:left w:val="single" w:sz="4" w:space="0" w:color="auto"/>
              <w:bottom w:val="single" w:sz="4" w:space="0" w:color="auto"/>
              <w:right w:val="single" w:sz="4" w:space="0" w:color="auto"/>
            </w:tcBorders>
          </w:tcPr>
          <w:p w14:paraId="529F5810" w14:textId="77777777" w:rsidR="00204E97" w:rsidRPr="00D9232D" w:rsidRDefault="00204E97" w:rsidP="00AA0A6A">
            <w:pPr>
              <w:spacing w:after="160" w:line="360" w:lineRule="auto"/>
              <w:rPr>
                <w:sz w:val="24"/>
                <w:szCs w:val="24"/>
              </w:rPr>
            </w:pPr>
            <w:r w:rsidRPr="00D9232D">
              <w:rPr>
                <w:sz w:val="24"/>
                <w:szCs w:val="24"/>
              </w:rPr>
              <w:t>6,283</w:t>
            </w:r>
          </w:p>
        </w:tc>
        <w:tc>
          <w:tcPr>
            <w:tcW w:w="936" w:type="dxa"/>
            <w:tcBorders>
              <w:top w:val="single" w:sz="4" w:space="0" w:color="auto"/>
              <w:left w:val="single" w:sz="4" w:space="0" w:color="auto"/>
              <w:bottom w:val="single" w:sz="4" w:space="0" w:color="auto"/>
              <w:right w:val="single" w:sz="4" w:space="0" w:color="auto"/>
            </w:tcBorders>
          </w:tcPr>
          <w:p w14:paraId="46024776" w14:textId="77777777" w:rsidR="00204E97" w:rsidRPr="00D9232D" w:rsidRDefault="00204E97" w:rsidP="00AA0A6A">
            <w:pPr>
              <w:spacing w:after="160" w:line="360" w:lineRule="auto"/>
              <w:rPr>
                <w:sz w:val="24"/>
                <w:szCs w:val="24"/>
              </w:rPr>
            </w:pPr>
            <w:r w:rsidRPr="00D9232D">
              <w:rPr>
                <w:sz w:val="24"/>
                <w:szCs w:val="24"/>
              </w:rPr>
              <w:t>48.4</w:t>
            </w:r>
          </w:p>
        </w:tc>
        <w:tc>
          <w:tcPr>
            <w:tcW w:w="1203" w:type="dxa"/>
            <w:tcBorders>
              <w:top w:val="single" w:sz="4" w:space="0" w:color="auto"/>
              <w:left w:val="single" w:sz="4" w:space="0" w:color="auto"/>
              <w:bottom w:val="single" w:sz="4" w:space="0" w:color="auto"/>
              <w:right w:val="single" w:sz="4" w:space="0" w:color="auto"/>
            </w:tcBorders>
          </w:tcPr>
          <w:p w14:paraId="607C580D" w14:textId="77777777" w:rsidR="00204E97" w:rsidRPr="00D9232D" w:rsidRDefault="00204E97" w:rsidP="00AA0A6A">
            <w:pPr>
              <w:spacing w:after="160" w:line="360" w:lineRule="auto"/>
              <w:rPr>
                <w:sz w:val="24"/>
                <w:szCs w:val="24"/>
              </w:rPr>
            </w:pPr>
            <w:r w:rsidRPr="00D9232D">
              <w:rPr>
                <w:sz w:val="24"/>
                <w:szCs w:val="24"/>
              </w:rPr>
              <w:t>43.3</w:t>
            </w:r>
          </w:p>
        </w:tc>
        <w:tc>
          <w:tcPr>
            <w:tcW w:w="1220" w:type="dxa"/>
            <w:tcBorders>
              <w:top w:val="single" w:sz="4" w:space="0" w:color="auto"/>
              <w:left w:val="single" w:sz="4" w:space="0" w:color="auto"/>
              <w:bottom w:val="single" w:sz="4" w:space="0" w:color="auto"/>
              <w:right w:val="single" w:sz="4" w:space="0" w:color="auto"/>
            </w:tcBorders>
          </w:tcPr>
          <w:p w14:paraId="1D4AD0ED" w14:textId="77777777" w:rsidR="00204E97" w:rsidRPr="00D9232D" w:rsidRDefault="00204E97" w:rsidP="00AA0A6A">
            <w:pPr>
              <w:spacing w:after="160" w:line="360" w:lineRule="auto"/>
              <w:rPr>
                <w:sz w:val="24"/>
                <w:szCs w:val="24"/>
              </w:rPr>
            </w:pPr>
            <w:r w:rsidRPr="00D9232D">
              <w:rPr>
                <w:sz w:val="24"/>
                <w:szCs w:val="24"/>
              </w:rPr>
              <w:t>69.0</w:t>
            </w:r>
          </w:p>
        </w:tc>
        <w:tc>
          <w:tcPr>
            <w:tcW w:w="1174" w:type="dxa"/>
            <w:tcBorders>
              <w:top w:val="single" w:sz="4" w:space="0" w:color="auto"/>
              <w:left w:val="single" w:sz="4" w:space="0" w:color="auto"/>
              <w:bottom w:val="single" w:sz="4" w:space="0" w:color="auto"/>
              <w:right w:val="single" w:sz="4" w:space="0" w:color="auto"/>
            </w:tcBorders>
          </w:tcPr>
          <w:p w14:paraId="5A3DE4A5" w14:textId="77777777" w:rsidR="00204E97" w:rsidRPr="00D9232D" w:rsidRDefault="00204E97" w:rsidP="00AA0A6A">
            <w:pPr>
              <w:spacing w:line="360" w:lineRule="auto"/>
              <w:rPr>
                <w:sz w:val="24"/>
                <w:szCs w:val="24"/>
              </w:rPr>
            </w:pPr>
            <w:r w:rsidRPr="00D9232D">
              <w:rPr>
                <w:sz w:val="24"/>
                <w:szCs w:val="24"/>
              </w:rPr>
              <w:t>8.2</w:t>
            </w:r>
          </w:p>
        </w:tc>
      </w:tr>
      <w:tr w:rsidR="00204E97" w:rsidRPr="00D9232D" w14:paraId="30C161CE"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351343DF"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3F1F8825" w14:textId="77777777" w:rsidR="00204E97" w:rsidRPr="00D9232D" w:rsidRDefault="00204E97" w:rsidP="00AA0A6A">
            <w:pPr>
              <w:spacing w:after="160" w:line="360" w:lineRule="auto"/>
              <w:rPr>
                <w:sz w:val="24"/>
                <w:szCs w:val="24"/>
              </w:rPr>
            </w:pPr>
            <w:r w:rsidRPr="00D9232D">
              <w:rPr>
                <w:sz w:val="24"/>
                <w:szCs w:val="24"/>
              </w:rPr>
              <w:t>Macao</w:t>
            </w:r>
          </w:p>
        </w:tc>
        <w:tc>
          <w:tcPr>
            <w:tcW w:w="1001" w:type="dxa"/>
            <w:tcBorders>
              <w:top w:val="single" w:sz="4" w:space="0" w:color="auto"/>
              <w:left w:val="single" w:sz="4" w:space="0" w:color="auto"/>
              <w:bottom w:val="single" w:sz="4" w:space="0" w:color="auto"/>
              <w:right w:val="single" w:sz="4" w:space="0" w:color="auto"/>
            </w:tcBorders>
          </w:tcPr>
          <w:p w14:paraId="37B6CDE1" w14:textId="77777777" w:rsidR="00204E97" w:rsidRPr="00D9232D" w:rsidRDefault="00204E97" w:rsidP="00AA0A6A">
            <w:pPr>
              <w:spacing w:after="160" w:line="360" w:lineRule="auto"/>
              <w:rPr>
                <w:sz w:val="24"/>
                <w:szCs w:val="24"/>
              </w:rPr>
            </w:pPr>
            <w:r w:rsidRPr="00D9232D">
              <w:rPr>
                <w:sz w:val="24"/>
                <w:szCs w:val="24"/>
              </w:rPr>
              <w:t>3,331</w:t>
            </w:r>
          </w:p>
        </w:tc>
        <w:tc>
          <w:tcPr>
            <w:tcW w:w="936" w:type="dxa"/>
            <w:tcBorders>
              <w:top w:val="single" w:sz="4" w:space="0" w:color="auto"/>
              <w:left w:val="single" w:sz="4" w:space="0" w:color="auto"/>
              <w:bottom w:val="single" w:sz="4" w:space="0" w:color="auto"/>
              <w:right w:val="single" w:sz="4" w:space="0" w:color="auto"/>
            </w:tcBorders>
          </w:tcPr>
          <w:p w14:paraId="7B0513CA" w14:textId="77777777" w:rsidR="00204E97" w:rsidRPr="00D9232D" w:rsidRDefault="00204E97" w:rsidP="00AA0A6A">
            <w:pPr>
              <w:spacing w:after="160" w:line="360" w:lineRule="auto"/>
              <w:rPr>
                <w:sz w:val="24"/>
                <w:szCs w:val="24"/>
              </w:rPr>
            </w:pPr>
            <w:r w:rsidRPr="00D9232D">
              <w:rPr>
                <w:sz w:val="24"/>
                <w:szCs w:val="24"/>
              </w:rPr>
              <w:t>50.4</w:t>
            </w:r>
          </w:p>
        </w:tc>
        <w:tc>
          <w:tcPr>
            <w:tcW w:w="1203" w:type="dxa"/>
            <w:tcBorders>
              <w:top w:val="single" w:sz="4" w:space="0" w:color="auto"/>
              <w:left w:val="single" w:sz="4" w:space="0" w:color="auto"/>
              <w:bottom w:val="single" w:sz="4" w:space="0" w:color="auto"/>
              <w:right w:val="single" w:sz="4" w:space="0" w:color="auto"/>
            </w:tcBorders>
          </w:tcPr>
          <w:p w14:paraId="0CD53189" w14:textId="77777777" w:rsidR="00204E97" w:rsidRPr="00D9232D" w:rsidRDefault="00204E97" w:rsidP="00AA0A6A">
            <w:pPr>
              <w:spacing w:after="160" w:line="360" w:lineRule="auto"/>
              <w:rPr>
                <w:sz w:val="24"/>
                <w:szCs w:val="24"/>
              </w:rPr>
            </w:pPr>
            <w:r w:rsidRPr="00D9232D">
              <w:rPr>
                <w:sz w:val="24"/>
                <w:szCs w:val="24"/>
              </w:rPr>
              <w:t>66.9</w:t>
            </w:r>
          </w:p>
        </w:tc>
        <w:tc>
          <w:tcPr>
            <w:tcW w:w="1220" w:type="dxa"/>
            <w:tcBorders>
              <w:top w:val="single" w:sz="4" w:space="0" w:color="auto"/>
              <w:left w:val="single" w:sz="4" w:space="0" w:color="auto"/>
              <w:bottom w:val="single" w:sz="4" w:space="0" w:color="auto"/>
              <w:right w:val="single" w:sz="4" w:space="0" w:color="auto"/>
            </w:tcBorders>
          </w:tcPr>
          <w:p w14:paraId="69D9FFB4" w14:textId="77777777" w:rsidR="00204E97" w:rsidRPr="00D9232D" w:rsidRDefault="00204E97" w:rsidP="00AA0A6A">
            <w:pPr>
              <w:spacing w:after="160" w:line="360" w:lineRule="auto"/>
              <w:rPr>
                <w:sz w:val="24"/>
                <w:szCs w:val="24"/>
              </w:rPr>
            </w:pPr>
            <w:r w:rsidRPr="00D9232D">
              <w:rPr>
                <w:sz w:val="24"/>
                <w:szCs w:val="24"/>
              </w:rPr>
              <w:t>83.5</w:t>
            </w:r>
          </w:p>
        </w:tc>
        <w:tc>
          <w:tcPr>
            <w:tcW w:w="1174" w:type="dxa"/>
            <w:tcBorders>
              <w:top w:val="single" w:sz="4" w:space="0" w:color="auto"/>
              <w:left w:val="single" w:sz="4" w:space="0" w:color="auto"/>
              <w:bottom w:val="single" w:sz="4" w:space="0" w:color="auto"/>
              <w:right w:val="single" w:sz="4" w:space="0" w:color="auto"/>
            </w:tcBorders>
          </w:tcPr>
          <w:p w14:paraId="6B33794D" w14:textId="77777777" w:rsidR="00204E97" w:rsidRPr="00D9232D" w:rsidRDefault="00204E97" w:rsidP="00AA0A6A">
            <w:pPr>
              <w:spacing w:line="360" w:lineRule="auto"/>
              <w:rPr>
                <w:sz w:val="24"/>
                <w:szCs w:val="24"/>
              </w:rPr>
            </w:pPr>
            <w:r w:rsidRPr="00D9232D">
              <w:rPr>
                <w:sz w:val="24"/>
                <w:szCs w:val="24"/>
              </w:rPr>
              <w:t>10.6</w:t>
            </w:r>
          </w:p>
        </w:tc>
      </w:tr>
      <w:tr w:rsidR="00204E97" w:rsidRPr="00D9232D" w14:paraId="017E83E7"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05D1E5CB"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60695AEF" w14:textId="77777777" w:rsidR="00204E97" w:rsidRPr="00D9232D" w:rsidRDefault="00204E97" w:rsidP="00AA0A6A">
            <w:pPr>
              <w:spacing w:after="160" w:line="360" w:lineRule="auto"/>
              <w:rPr>
                <w:sz w:val="24"/>
                <w:szCs w:val="24"/>
              </w:rPr>
            </w:pPr>
            <w:r w:rsidRPr="00D9232D">
              <w:rPr>
                <w:sz w:val="24"/>
                <w:szCs w:val="24"/>
              </w:rPr>
              <w:t xml:space="preserve">New </w:t>
            </w:r>
            <w:proofErr w:type="spellStart"/>
            <w:r w:rsidRPr="00D9232D">
              <w:rPr>
                <w:sz w:val="24"/>
                <w:szCs w:val="24"/>
              </w:rPr>
              <w:t>Zealand</w:t>
            </w:r>
            <w:proofErr w:type="spellEnd"/>
          </w:p>
        </w:tc>
        <w:tc>
          <w:tcPr>
            <w:tcW w:w="1001" w:type="dxa"/>
            <w:tcBorders>
              <w:top w:val="single" w:sz="4" w:space="0" w:color="auto"/>
              <w:left w:val="single" w:sz="4" w:space="0" w:color="auto"/>
              <w:bottom w:val="single" w:sz="4" w:space="0" w:color="auto"/>
              <w:right w:val="single" w:sz="4" w:space="0" w:color="auto"/>
            </w:tcBorders>
          </w:tcPr>
          <w:p w14:paraId="44D279E3" w14:textId="77777777" w:rsidR="00204E97" w:rsidRPr="00D9232D" w:rsidRDefault="00204E97" w:rsidP="00AA0A6A">
            <w:pPr>
              <w:spacing w:after="160" w:line="360" w:lineRule="auto"/>
              <w:rPr>
                <w:sz w:val="24"/>
                <w:szCs w:val="24"/>
              </w:rPr>
            </w:pPr>
            <w:r w:rsidRPr="00D9232D">
              <w:rPr>
                <w:sz w:val="24"/>
                <w:szCs w:val="24"/>
              </w:rPr>
              <w:t>5,474</w:t>
            </w:r>
          </w:p>
        </w:tc>
        <w:tc>
          <w:tcPr>
            <w:tcW w:w="936" w:type="dxa"/>
            <w:tcBorders>
              <w:top w:val="single" w:sz="4" w:space="0" w:color="auto"/>
              <w:left w:val="single" w:sz="4" w:space="0" w:color="auto"/>
              <w:bottom w:val="single" w:sz="4" w:space="0" w:color="auto"/>
              <w:right w:val="single" w:sz="4" w:space="0" w:color="auto"/>
            </w:tcBorders>
          </w:tcPr>
          <w:p w14:paraId="599AC4FE" w14:textId="77777777" w:rsidR="00204E97" w:rsidRPr="00D9232D" w:rsidRDefault="00204E97" w:rsidP="00AA0A6A">
            <w:pPr>
              <w:spacing w:after="160" w:line="360" w:lineRule="auto"/>
              <w:rPr>
                <w:sz w:val="24"/>
                <w:szCs w:val="24"/>
              </w:rPr>
            </w:pPr>
            <w:r w:rsidRPr="00D9232D">
              <w:rPr>
                <w:sz w:val="24"/>
                <w:szCs w:val="24"/>
              </w:rPr>
              <w:t>52.2</w:t>
            </w:r>
          </w:p>
        </w:tc>
        <w:tc>
          <w:tcPr>
            <w:tcW w:w="1203" w:type="dxa"/>
            <w:tcBorders>
              <w:top w:val="single" w:sz="4" w:space="0" w:color="auto"/>
              <w:left w:val="single" w:sz="4" w:space="0" w:color="auto"/>
              <w:bottom w:val="single" w:sz="4" w:space="0" w:color="auto"/>
              <w:right w:val="single" w:sz="4" w:space="0" w:color="auto"/>
            </w:tcBorders>
          </w:tcPr>
          <w:p w14:paraId="218421B6" w14:textId="77777777" w:rsidR="00204E97" w:rsidRPr="00D9232D" w:rsidRDefault="00204E97" w:rsidP="00AA0A6A">
            <w:pPr>
              <w:spacing w:after="160" w:line="360" w:lineRule="auto"/>
              <w:rPr>
                <w:sz w:val="24"/>
                <w:szCs w:val="24"/>
              </w:rPr>
            </w:pPr>
            <w:r w:rsidRPr="00D9232D">
              <w:rPr>
                <w:sz w:val="24"/>
                <w:szCs w:val="24"/>
              </w:rPr>
              <w:t>77.8</w:t>
            </w:r>
          </w:p>
        </w:tc>
        <w:tc>
          <w:tcPr>
            <w:tcW w:w="1220" w:type="dxa"/>
            <w:tcBorders>
              <w:top w:val="single" w:sz="4" w:space="0" w:color="auto"/>
              <w:left w:val="single" w:sz="4" w:space="0" w:color="auto"/>
              <w:bottom w:val="single" w:sz="4" w:space="0" w:color="auto"/>
              <w:right w:val="single" w:sz="4" w:space="0" w:color="auto"/>
            </w:tcBorders>
          </w:tcPr>
          <w:p w14:paraId="650E09FF" w14:textId="77777777" w:rsidR="00204E97" w:rsidRPr="00D9232D" w:rsidRDefault="00204E97" w:rsidP="00AA0A6A">
            <w:pPr>
              <w:spacing w:after="160" w:line="360" w:lineRule="auto"/>
              <w:rPr>
                <w:sz w:val="24"/>
                <w:szCs w:val="24"/>
              </w:rPr>
            </w:pPr>
            <w:r w:rsidRPr="00D9232D">
              <w:rPr>
                <w:sz w:val="24"/>
                <w:szCs w:val="24"/>
              </w:rPr>
              <w:t>83.5</w:t>
            </w:r>
          </w:p>
        </w:tc>
        <w:tc>
          <w:tcPr>
            <w:tcW w:w="1174" w:type="dxa"/>
            <w:tcBorders>
              <w:top w:val="single" w:sz="4" w:space="0" w:color="auto"/>
              <w:left w:val="single" w:sz="4" w:space="0" w:color="auto"/>
              <w:bottom w:val="single" w:sz="4" w:space="0" w:color="auto"/>
              <w:right w:val="single" w:sz="4" w:space="0" w:color="auto"/>
            </w:tcBorders>
          </w:tcPr>
          <w:p w14:paraId="66A27565" w14:textId="77777777" w:rsidR="00204E97" w:rsidRPr="00D9232D" w:rsidRDefault="00204E97" w:rsidP="00AA0A6A">
            <w:pPr>
              <w:spacing w:line="360" w:lineRule="auto"/>
              <w:rPr>
                <w:sz w:val="24"/>
                <w:szCs w:val="24"/>
              </w:rPr>
            </w:pPr>
            <w:r w:rsidRPr="00D9232D">
              <w:rPr>
                <w:sz w:val="24"/>
                <w:szCs w:val="24"/>
              </w:rPr>
              <w:t>48.0</w:t>
            </w:r>
          </w:p>
        </w:tc>
      </w:tr>
      <w:tr w:rsidR="00204E97" w:rsidRPr="00D9232D" w14:paraId="5927035D"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6D96F115"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52ABAD5D" w14:textId="77777777" w:rsidR="00204E97" w:rsidRPr="00D9232D" w:rsidRDefault="00204E97" w:rsidP="00AA0A6A">
            <w:pPr>
              <w:spacing w:after="160" w:line="360" w:lineRule="auto"/>
              <w:rPr>
                <w:sz w:val="24"/>
                <w:szCs w:val="24"/>
              </w:rPr>
            </w:pPr>
            <w:proofErr w:type="spellStart"/>
            <w:r w:rsidRPr="00D9232D">
              <w:rPr>
                <w:sz w:val="24"/>
                <w:szCs w:val="24"/>
              </w:rPr>
              <w:t>Singapore</w:t>
            </w:r>
            <w:proofErr w:type="spellEnd"/>
          </w:p>
        </w:tc>
        <w:tc>
          <w:tcPr>
            <w:tcW w:w="1001" w:type="dxa"/>
            <w:tcBorders>
              <w:top w:val="single" w:sz="4" w:space="0" w:color="auto"/>
              <w:left w:val="single" w:sz="4" w:space="0" w:color="auto"/>
              <w:bottom w:val="single" w:sz="4" w:space="0" w:color="auto"/>
              <w:right w:val="single" w:sz="4" w:space="0" w:color="auto"/>
            </w:tcBorders>
          </w:tcPr>
          <w:p w14:paraId="1F269C08" w14:textId="77777777" w:rsidR="00204E97" w:rsidRPr="00D9232D" w:rsidRDefault="00204E97" w:rsidP="00AA0A6A">
            <w:pPr>
              <w:spacing w:after="160" w:line="360" w:lineRule="auto"/>
              <w:rPr>
                <w:sz w:val="24"/>
                <w:szCs w:val="24"/>
              </w:rPr>
            </w:pPr>
            <w:r w:rsidRPr="00D9232D">
              <w:rPr>
                <w:sz w:val="24"/>
                <w:szCs w:val="24"/>
              </w:rPr>
              <w:t>6,168</w:t>
            </w:r>
          </w:p>
        </w:tc>
        <w:tc>
          <w:tcPr>
            <w:tcW w:w="936" w:type="dxa"/>
            <w:tcBorders>
              <w:top w:val="single" w:sz="4" w:space="0" w:color="auto"/>
              <w:left w:val="single" w:sz="4" w:space="0" w:color="auto"/>
              <w:bottom w:val="single" w:sz="4" w:space="0" w:color="auto"/>
              <w:right w:val="single" w:sz="4" w:space="0" w:color="auto"/>
            </w:tcBorders>
          </w:tcPr>
          <w:p w14:paraId="273CB12E" w14:textId="77777777" w:rsidR="00204E97" w:rsidRPr="00D9232D" w:rsidRDefault="00204E97" w:rsidP="00AA0A6A">
            <w:pPr>
              <w:spacing w:after="160" w:line="360" w:lineRule="auto"/>
              <w:rPr>
                <w:sz w:val="24"/>
                <w:szCs w:val="24"/>
              </w:rPr>
            </w:pPr>
            <w:r w:rsidRPr="00D9232D">
              <w:rPr>
                <w:sz w:val="24"/>
                <w:szCs w:val="24"/>
              </w:rPr>
              <w:t>49.0</w:t>
            </w:r>
          </w:p>
        </w:tc>
        <w:tc>
          <w:tcPr>
            <w:tcW w:w="1203" w:type="dxa"/>
            <w:tcBorders>
              <w:top w:val="single" w:sz="4" w:space="0" w:color="auto"/>
              <w:left w:val="single" w:sz="4" w:space="0" w:color="auto"/>
              <w:bottom w:val="single" w:sz="4" w:space="0" w:color="auto"/>
              <w:right w:val="single" w:sz="4" w:space="0" w:color="auto"/>
            </w:tcBorders>
          </w:tcPr>
          <w:p w14:paraId="5E65F61E" w14:textId="77777777" w:rsidR="00204E97" w:rsidRPr="00D9232D" w:rsidRDefault="00204E97" w:rsidP="00AA0A6A">
            <w:pPr>
              <w:spacing w:after="160" w:line="360" w:lineRule="auto"/>
              <w:rPr>
                <w:sz w:val="24"/>
                <w:szCs w:val="24"/>
              </w:rPr>
            </w:pPr>
            <w:r w:rsidRPr="00D9232D">
              <w:rPr>
                <w:sz w:val="24"/>
                <w:szCs w:val="24"/>
              </w:rPr>
              <w:t>73.1</w:t>
            </w:r>
          </w:p>
        </w:tc>
        <w:tc>
          <w:tcPr>
            <w:tcW w:w="1220" w:type="dxa"/>
            <w:tcBorders>
              <w:top w:val="single" w:sz="4" w:space="0" w:color="auto"/>
              <w:left w:val="single" w:sz="4" w:space="0" w:color="auto"/>
              <w:bottom w:val="single" w:sz="4" w:space="0" w:color="auto"/>
              <w:right w:val="single" w:sz="4" w:space="0" w:color="auto"/>
            </w:tcBorders>
          </w:tcPr>
          <w:p w14:paraId="089FD6E3" w14:textId="77777777" w:rsidR="00204E97" w:rsidRPr="00D9232D" w:rsidRDefault="00204E97" w:rsidP="00AA0A6A">
            <w:pPr>
              <w:spacing w:after="160" w:line="360" w:lineRule="auto"/>
              <w:rPr>
                <w:sz w:val="24"/>
                <w:szCs w:val="24"/>
              </w:rPr>
            </w:pPr>
            <w:r w:rsidRPr="00D9232D">
              <w:rPr>
                <w:sz w:val="24"/>
                <w:szCs w:val="24"/>
              </w:rPr>
              <w:t>84.3</w:t>
            </w:r>
          </w:p>
        </w:tc>
        <w:tc>
          <w:tcPr>
            <w:tcW w:w="1174" w:type="dxa"/>
            <w:tcBorders>
              <w:top w:val="single" w:sz="4" w:space="0" w:color="auto"/>
              <w:left w:val="single" w:sz="4" w:space="0" w:color="auto"/>
              <w:bottom w:val="single" w:sz="4" w:space="0" w:color="auto"/>
              <w:right w:val="single" w:sz="4" w:space="0" w:color="auto"/>
            </w:tcBorders>
          </w:tcPr>
          <w:p w14:paraId="77036AD9" w14:textId="77777777" w:rsidR="00204E97" w:rsidRPr="00D9232D" w:rsidRDefault="00204E97" w:rsidP="00AA0A6A">
            <w:pPr>
              <w:spacing w:line="360" w:lineRule="auto"/>
              <w:rPr>
                <w:sz w:val="24"/>
                <w:szCs w:val="24"/>
              </w:rPr>
            </w:pPr>
            <w:r w:rsidRPr="00D9232D">
              <w:rPr>
                <w:sz w:val="24"/>
                <w:szCs w:val="24"/>
              </w:rPr>
              <w:t>21.0</w:t>
            </w:r>
          </w:p>
        </w:tc>
      </w:tr>
      <w:tr w:rsidR="00204E97" w:rsidRPr="00D9232D" w14:paraId="699EFE34" w14:textId="77777777" w:rsidTr="00AA0A6A">
        <w:trPr>
          <w:jc w:val="center"/>
        </w:trPr>
        <w:tc>
          <w:tcPr>
            <w:tcW w:w="1682" w:type="dxa"/>
            <w:tcBorders>
              <w:top w:val="single" w:sz="4" w:space="0" w:color="auto"/>
              <w:left w:val="single" w:sz="4" w:space="0" w:color="auto"/>
              <w:bottom w:val="single" w:sz="4" w:space="0" w:color="auto"/>
              <w:right w:val="single" w:sz="4" w:space="0" w:color="auto"/>
            </w:tcBorders>
          </w:tcPr>
          <w:p w14:paraId="48B8DC6E" w14:textId="77777777" w:rsidR="00204E97" w:rsidRPr="00D9232D" w:rsidRDefault="00204E97" w:rsidP="00AA0A6A">
            <w:pPr>
              <w:spacing w:after="160" w:line="360" w:lineRule="auto"/>
              <w:rPr>
                <w:sz w:val="24"/>
                <w:szCs w:val="24"/>
              </w:rPr>
            </w:pPr>
          </w:p>
        </w:tc>
        <w:tc>
          <w:tcPr>
            <w:tcW w:w="1426" w:type="dxa"/>
            <w:tcBorders>
              <w:top w:val="single" w:sz="4" w:space="0" w:color="auto"/>
              <w:left w:val="single" w:sz="4" w:space="0" w:color="auto"/>
              <w:bottom w:val="single" w:sz="4" w:space="0" w:color="auto"/>
              <w:right w:val="single" w:sz="4" w:space="0" w:color="auto"/>
            </w:tcBorders>
          </w:tcPr>
          <w:p w14:paraId="76ED3309" w14:textId="77777777" w:rsidR="00204E97" w:rsidRPr="00D9232D" w:rsidRDefault="00204E97" w:rsidP="00AA0A6A">
            <w:pPr>
              <w:spacing w:after="160" w:line="360" w:lineRule="auto"/>
              <w:rPr>
                <w:sz w:val="24"/>
                <w:szCs w:val="24"/>
              </w:rPr>
            </w:pPr>
            <w:proofErr w:type="spellStart"/>
            <w:r w:rsidRPr="00D9232D">
              <w:rPr>
                <w:sz w:val="24"/>
                <w:szCs w:val="24"/>
              </w:rPr>
              <w:t>Thailand</w:t>
            </w:r>
            <w:proofErr w:type="spellEnd"/>
          </w:p>
        </w:tc>
        <w:tc>
          <w:tcPr>
            <w:tcW w:w="1001" w:type="dxa"/>
            <w:tcBorders>
              <w:top w:val="single" w:sz="4" w:space="0" w:color="auto"/>
              <w:left w:val="single" w:sz="4" w:space="0" w:color="auto"/>
              <w:bottom w:val="single" w:sz="4" w:space="0" w:color="auto"/>
              <w:right w:val="single" w:sz="4" w:space="0" w:color="auto"/>
            </w:tcBorders>
          </w:tcPr>
          <w:p w14:paraId="04CBE0A0" w14:textId="77777777" w:rsidR="00204E97" w:rsidRPr="00D9232D" w:rsidRDefault="00204E97" w:rsidP="00AA0A6A">
            <w:pPr>
              <w:spacing w:after="160" w:line="360" w:lineRule="auto"/>
              <w:rPr>
                <w:sz w:val="24"/>
                <w:szCs w:val="24"/>
              </w:rPr>
            </w:pPr>
            <w:r w:rsidRPr="00D9232D">
              <w:rPr>
                <w:sz w:val="24"/>
                <w:szCs w:val="24"/>
              </w:rPr>
              <w:t>7,943</w:t>
            </w:r>
          </w:p>
        </w:tc>
        <w:tc>
          <w:tcPr>
            <w:tcW w:w="936" w:type="dxa"/>
            <w:tcBorders>
              <w:top w:val="single" w:sz="4" w:space="0" w:color="auto"/>
              <w:left w:val="single" w:sz="4" w:space="0" w:color="auto"/>
              <w:bottom w:val="single" w:sz="4" w:space="0" w:color="auto"/>
              <w:right w:val="single" w:sz="4" w:space="0" w:color="auto"/>
            </w:tcBorders>
          </w:tcPr>
          <w:p w14:paraId="1C751373" w14:textId="77777777" w:rsidR="00204E97" w:rsidRPr="00D9232D" w:rsidRDefault="00204E97" w:rsidP="00AA0A6A">
            <w:pPr>
              <w:spacing w:after="160" w:line="360" w:lineRule="auto"/>
              <w:rPr>
                <w:sz w:val="24"/>
                <w:szCs w:val="24"/>
              </w:rPr>
            </w:pPr>
            <w:r w:rsidRPr="00D9232D">
              <w:rPr>
                <w:sz w:val="24"/>
                <w:szCs w:val="24"/>
              </w:rPr>
              <w:t>54.7</w:t>
            </w:r>
          </w:p>
        </w:tc>
        <w:tc>
          <w:tcPr>
            <w:tcW w:w="1203" w:type="dxa"/>
            <w:tcBorders>
              <w:top w:val="single" w:sz="4" w:space="0" w:color="auto"/>
              <w:left w:val="single" w:sz="4" w:space="0" w:color="auto"/>
              <w:bottom w:val="single" w:sz="4" w:space="0" w:color="auto"/>
              <w:right w:val="single" w:sz="4" w:space="0" w:color="auto"/>
            </w:tcBorders>
          </w:tcPr>
          <w:p w14:paraId="5277D487" w14:textId="77777777" w:rsidR="00204E97" w:rsidRPr="00D9232D" w:rsidRDefault="00204E97" w:rsidP="00AA0A6A">
            <w:pPr>
              <w:spacing w:after="160" w:line="360" w:lineRule="auto"/>
              <w:rPr>
                <w:sz w:val="24"/>
                <w:szCs w:val="24"/>
              </w:rPr>
            </w:pPr>
            <w:r w:rsidRPr="00D9232D">
              <w:rPr>
                <w:sz w:val="24"/>
                <w:szCs w:val="24"/>
              </w:rPr>
              <w:t>60.7</w:t>
            </w:r>
          </w:p>
        </w:tc>
        <w:tc>
          <w:tcPr>
            <w:tcW w:w="1220" w:type="dxa"/>
            <w:tcBorders>
              <w:top w:val="single" w:sz="4" w:space="0" w:color="auto"/>
              <w:left w:val="single" w:sz="4" w:space="0" w:color="auto"/>
              <w:bottom w:val="single" w:sz="4" w:space="0" w:color="auto"/>
              <w:right w:val="single" w:sz="4" w:space="0" w:color="auto"/>
            </w:tcBorders>
          </w:tcPr>
          <w:p w14:paraId="5A213042" w14:textId="77777777" w:rsidR="00204E97" w:rsidRPr="00D9232D" w:rsidRDefault="00204E97" w:rsidP="00AA0A6A">
            <w:pPr>
              <w:spacing w:after="160" w:line="360" w:lineRule="auto"/>
              <w:rPr>
                <w:sz w:val="24"/>
                <w:szCs w:val="24"/>
              </w:rPr>
            </w:pPr>
            <w:r w:rsidRPr="00D9232D">
              <w:rPr>
                <w:sz w:val="24"/>
                <w:szCs w:val="24"/>
              </w:rPr>
              <w:t>80.3</w:t>
            </w:r>
          </w:p>
        </w:tc>
        <w:tc>
          <w:tcPr>
            <w:tcW w:w="1174" w:type="dxa"/>
            <w:tcBorders>
              <w:top w:val="single" w:sz="4" w:space="0" w:color="auto"/>
              <w:left w:val="single" w:sz="4" w:space="0" w:color="auto"/>
              <w:bottom w:val="single" w:sz="4" w:space="0" w:color="auto"/>
              <w:right w:val="single" w:sz="4" w:space="0" w:color="auto"/>
            </w:tcBorders>
          </w:tcPr>
          <w:p w14:paraId="46453F6C" w14:textId="77777777" w:rsidR="00204E97" w:rsidRPr="00D9232D" w:rsidRDefault="00204E97" w:rsidP="00AA0A6A">
            <w:pPr>
              <w:spacing w:line="360" w:lineRule="auto"/>
              <w:rPr>
                <w:sz w:val="24"/>
                <w:szCs w:val="24"/>
              </w:rPr>
            </w:pPr>
            <w:r w:rsidRPr="00D9232D">
              <w:rPr>
                <w:sz w:val="24"/>
                <w:szCs w:val="24"/>
              </w:rPr>
              <w:t>33.7</w:t>
            </w:r>
          </w:p>
        </w:tc>
      </w:tr>
      <w:tr w:rsidR="00204E97" w:rsidRPr="00D9232D" w14:paraId="59997F72" w14:textId="77777777" w:rsidTr="00AA0A6A">
        <w:trPr>
          <w:jc w:val="center"/>
        </w:trPr>
        <w:tc>
          <w:tcPr>
            <w:tcW w:w="1682" w:type="dxa"/>
            <w:tcBorders>
              <w:top w:val="single" w:sz="4" w:space="0" w:color="auto"/>
              <w:left w:val="single" w:sz="4" w:space="0" w:color="auto"/>
              <w:right w:val="single" w:sz="4" w:space="0" w:color="auto"/>
            </w:tcBorders>
          </w:tcPr>
          <w:p w14:paraId="138B0748" w14:textId="77777777" w:rsidR="00204E97" w:rsidRPr="00D9232D" w:rsidRDefault="00204E97" w:rsidP="00AA0A6A">
            <w:pPr>
              <w:spacing w:after="160" w:line="360" w:lineRule="auto"/>
              <w:rPr>
                <w:sz w:val="24"/>
                <w:szCs w:val="24"/>
              </w:rPr>
            </w:pPr>
            <w:proofErr w:type="spellStart"/>
            <w:r w:rsidRPr="00D9232D">
              <w:rPr>
                <w:sz w:val="24"/>
                <w:szCs w:val="24"/>
              </w:rPr>
              <w:t>Africa</w:t>
            </w:r>
            <w:proofErr w:type="spellEnd"/>
          </w:p>
        </w:tc>
        <w:tc>
          <w:tcPr>
            <w:tcW w:w="1426" w:type="dxa"/>
            <w:tcBorders>
              <w:top w:val="single" w:sz="4" w:space="0" w:color="auto"/>
              <w:left w:val="single" w:sz="4" w:space="0" w:color="auto"/>
              <w:right w:val="single" w:sz="4" w:space="0" w:color="auto"/>
            </w:tcBorders>
          </w:tcPr>
          <w:p w14:paraId="57A30855" w14:textId="77777777" w:rsidR="00204E97" w:rsidRPr="00D9232D" w:rsidRDefault="00204E97" w:rsidP="00AA0A6A">
            <w:pPr>
              <w:spacing w:after="160" w:line="360" w:lineRule="auto"/>
              <w:rPr>
                <w:sz w:val="24"/>
                <w:szCs w:val="24"/>
              </w:rPr>
            </w:pPr>
            <w:proofErr w:type="spellStart"/>
            <w:r w:rsidRPr="00D9232D">
              <w:rPr>
                <w:sz w:val="24"/>
                <w:szCs w:val="24"/>
              </w:rPr>
              <w:t>Morocco</w:t>
            </w:r>
            <w:proofErr w:type="spellEnd"/>
          </w:p>
        </w:tc>
        <w:tc>
          <w:tcPr>
            <w:tcW w:w="1001" w:type="dxa"/>
            <w:tcBorders>
              <w:top w:val="single" w:sz="4" w:space="0" w:color="auto"/>
              <w:left w:val="single" w:sz="4" w:space="0" w:color="auto"/>
              <w:right w:val="single" w:sz="4" w:space="0" w:color="auto"/>
            </w:tcBorders>
          </w:tcPr>
          <w:p w14:paraId="2483810B" w14:textId="77777777" w:rsidR="00204E97" w:rsidRPr="00D9232D" w:rsidRDefault="00204E97" w:rsidP="00AA0A6A">
            <w:pPr>
              <w:spacing w:after="160" w:line="360" w:lineRule="auto"/>
              <w:rPr>
                <w:sz w:val="24"/>
                <w:szCs w:val="24"/>
              </w:rPr>
            </w:pPr>
            <w:r w:rsidRPr="00D9232D">
              <w:rPr>
                <w:sz w:val="24"/>
                <w:szCs w:val="24"/>
              </w:rPr>
              <w:t>4,696</w:t>
            </w:r>
          </w:p>
        </w:tc>
        <w:tc>
          <w:tcPr>
            <w:tcW w:w="936" w:type="dxa"/>
            <w:tcBorders>
              <w:top w:val="single" w:sz="4" w:space="0" w:color="auto"/>
              <w:left w:val="single" w:sz="4" w:space="0" w:color="auto"/>
              <w:right w:val="single" w:sz="4" w:space="0" w:color="auto"/>
            </w:tcBorders>
          </w:tcPr>
          <w:p w14:paraId="63FA4681" w14:textId="77777777" w:rsidR="00204E97" w:rsidRPr="00D9232D" w:rsidRDefault="00204E97" w:rsidP="00AA0A6A">
            <w:pPr>
              <w:spacing w:after="160" w:line="360" w:lineRule="auto"/>
              <w:rPr>
                <w:sz w:val="24"/>
                <w:szCs w:val="24"/>
              </w:rPr>
            </w:pPr>
            <w:r w:rsidRPr="00D9232D">
              <w:rPr>
                <w:sz w:val="24"/>
                <w:szCs w:val="24"/>
              </w:rPr>
              <w:t>47.0</w:t>
            </w:r>
          </w:p>
        </w:tc>
        <w:tc>
          <w:tcPr>
            <w:tcW w:w="1203" w:type="dxa"/>
            <w:tcBorders>
              <w:top w:val="single" w:sz="4" w:space="0" w:color="auto"/>
              <w:left w:val="single" w:sz="4" w:space="0" w:color="auto"/>
              <w:right w:val="single" w:sz="4" w:space="0" w:color="auto"/>
            </w:tcBorders>
          </w:tcPr>
          <w:p w14:paraId="136FB5F5" w14:textId="77777777" w:rsidR="00204E97" w:rsidRPr="00D9232D" w:rsidRDefault="00204E97" w:rsidP="00AA0A6A">
            <w:pPr>
              <w:spacing w:after="160" w:line="360" w:lineRule="auto"/>
              <w:rPr>
                <w:sz w:val="24"/>
                <w:szCs w:val="24"/>
              </w:rPr>
            </w:pPr>
            <w:r w:rsidRPr="00D9232D">
              <w:rPr>
                <w:sz w:val="24"/>
                <w:szCs w:val="24"/>
              </w:rPr>
              <w:t>30.5</w:t>
            </w:r>
          </w:p>
        </w:tc>
        <w:tc>
          <w:tcPr>
            <w:tcW w:w="1220" w:type="dxa"/>
            <w:tcBorders>
              <w:top w:val="single" w:sz="4" w:space="0" w:color="auto"/>
              <w:left w:val="single" w:sz="4" w:space="0" w:color="auto"/>
              <w:right w:val="single" w:sz="4" w:space="0" w:color="auto"/>
            </w:tcBorders>
          </w:tcPr>
          <w:p w14:paraId="3FA42B7B" w14:textId="77777777" w:rsidR="00204E97" w:rsidRPr="00D9232D" w:rsidRDefault="00204E97" w:rsidP="00AA0A6A">
            <w:pPr>
              <w:spacing w:after="160" w:line="360" w:lineRule="auto"/>
              <w:rPr>
                <w:sz w:val="24"/>
                <w:szCs w:val="24"/>
              </w:rPr>
            </w:pPr>
            <w:r w:rsidRPr="00D9232D">
              <w:rPr>
                <w:sz w:val="24"/>
                <w:szCs w:val="24"/>
              </w:rPr>
              <w:t>44.8</w:t>
            </w:r>
          </w:p>
        </w:tc>
        <w:tc>
          <w:tcPr>
            <w:tcW w:w="1174" w:type="dxa"/>
            <w:tcBorders>
              <w:top w:val="single" w:sz="4" w:space="0" w:color="auto"/>
              <w:left w:val="single" w:sz="4" w:space="0" w:color="auto"/>
              <w:right w:val="single" w:sz="4" w:space="0" w:color="auto"/>
            </w:tcBorders>
          </w:tcPr>
          <w:p w14:paraId="1824DF5C" w14:textId="77777777" w:rsidR="00204E97" w:rsidRPr="00D9232D" w:rsidRDefault="00204E97" w:rsidP="00AA0A6A">
            <w:pPr>
              <w:spacing w:line="360" w:lineRule="auto"/>
              <w:rPr>
                <w:sz w:val="24"/>
                <w:szCs w:val="24"/>
              </w:rPr>
            </w:pPr>
            <w:r w:rsidRPr="00D9232D">
              <w:rPr>
                <w:sz w:val="24"/>
                <w:szCs w:val="24"/>
              </w:rPr>
              <w:t>13.5</w:t>
            </w:r>
          </w:p>
        </w:tc>
      </w:tr>
    </w:tbl>
    <w:p w14:paraId="5564E245" w14:textId="77777777" w:rsidR="00204E97" w:rsidRDefault="00204E97" w:rsidP="0067261B">
      <w:pPr>
        <w:spacing w:line="480" w:lineRule="auto"/>
        <w:rPr>
          <w:b/>
          <w:bCs/>
          <w:noProof/>
          <w:sz w:val="24"/>
          <w:szCs w:val="24"/>
          <w:lang w:val="en-GB"/>
        </w:rPr>
      </w:pPr>
    </w:p>
    <w:p w14:paraId="56354EC9" w14:textId="77777777" w:rsidR="00C82E6D" w:rsidRDefault="00C82E6D" w:rsidP="0067261B">
      <w:pPr>
        <w:spacing w:line="480" w:lineRule="auto"/>
        <w:rPr>
          <w:b/>
          <w:bCs/>
          <w:noProof/>
          <w:sz w:val="24"/>
          <w:szCs w:val="24"/>
          <w:lang w:val="en-GB"/>
        </w:rPr>
      </w:pPr>
    </w:p>
    <w:p w14:paraId="1A123CAE" w14:textId="77777777" w:rsidR="00C82E6D" w:rsidRDefault="00C82E6D" w:rsidP="0067261B">
      <w:pPr>
        <w:spacing w:line="480" w:lineRule="auto"/>
        <w:rPr>
          <w:b/>
          <w:bCs/>
          <w:noProof/>
          <w:sz w:val="24"/>
          <w:szCs w:val="24"/>
          <w:lang w:val="en-GB"/>
        </w:rPr>
      </w:pPr>
    </w:p>
    <w:p w14:paraId="6C273CA4" w14:textId="77777777" w:rsidR="00C82E6D" w:rsidRDefault="00C82E6D" w:rsidP="0067261B">
      <w:pPr>
        <w:spacing w:line="480" w:lineRule="auto"/>
        <w:rPr>
          <w:b/>
          <w:bCs/>
          <w:noProof/>
          <w:sz w:val="24"/>
          <w:szCs w:val="24"/>
          <w:lang w:val="en-GB"/>
        </w:rPr>
      </w:pPr>
    </w:p>
    <w:p w14:paraId="30DD177E" w14:textId="77777777" w:rsidR="00C82E6D" w:rsidRDefault="00C82E6D" w:rsidP="0067261B">
      <w:pPr>
        <w:spacing w:line="480" w:lineRule="auto"/>
        <w:rPr>
          <w:b/>
          <w:bCs/>
          <w:noProof/>
          <w:sz w:val="24"/>
          <w:szCs w:val="24"/>
          <w:lang w:val="en-GB"/>
        </w:rPr>
      </w:pPr>
    </w:p>
    <w:p w14:paraId="69675494" w14:textId="77777777" w:rsidR="00C82E6D" w:rsidRDefault="00C82E6D" w:rsidP="0067261B">
      <w:pPr>
        <w:spacing w:line="480" w:lineRule="auto"/>
        <w:rPr>
          <w:b/>
          <w:bCs/>
          <w:noProof/>
          <w:sz w:val="24"/>
          <w:szCs w:val="24"/>
          <w:lang w:val="en-GB"/>
        </w:rPr>
      </w:pPr>
    </w:p>
    <w:p w14:paraId="65A9F5D3" w14:textId="77777777" w:rsidR="00C82E6D" w:rsidRDefault="00C82E6D" w:rsidP="0067261B">
      <w:pPr>
        <w:spacing w:line="480" w:lineRule="auto"/>
        <w:rPr>
          <w:b/>
          <w:bCs/>
          <w:noProof/>
          <w:sz w:val="24"/>
          <w:szCs w:val="24"/>
          <w:lang w:val="en-GB"/>
        </w:rPr>
      </w:pPr>
    </w:p>
    <w:p w14:paraId="303AD0F7" w14:textId="77777777" w:rsidR="00C82E6D" w:rsidRDefault="00C82E6D" w:rsidP="0067261B">
      <w:pPr>
        <w:spacing w:line="480" w:lineRule="auto"/>
        <w:rPr>
          <w:b/>
          <w:bCs/>
          <w:noProof/>
          <w:sz w:val="24"/>
          <w:szCs w:val="24"/>
          <w:lang w:val="en-GB"/>
        </w:rPr>
      </w:pPr>
    </w:p>
    <w:p w14:paraId="5C3E720C" w14:textId="77777777" w:rsidR="00C82E6D" w:rsidRDefault="00C82E6D" w:rsidP="0067261B">
      <w:pPr>
        <w:spacing w:line="480" w:lineRule="auto"/>
        <w:rPr>
          <w:b/>
          <w:bCs/>
          <w:noProof/>
          <w:sz w:val="24"/>
          <w:szCs w:val="24"/>
          <w:lang w:val="en-GB"/>
        </w:rPr>
      </w:pPr>
    </w:p>
    <w:p w14:paraId="32AF1584" w14:textId="77777777" w:rsidR="00C82E6D" w:rsidRDefault="00C82E6D" w:rsidP="0067261B">
      <w:pPr>
        <w:spacing w:line="480" w:lineRule="auto"/>
        <w:rPr>
          <w:b/>
          <w:bCs/>
          <w:noProof/>
          <w:sz w:val="24"/>
          <w:szCs w:val="24"/>
          <w:lang w:val="en-GB"/>
        </w:rPr>
      </w:pPr>
    </w:p>
    <w:p w14:paraId="07A4CEC2" w14:textId="77777777" w:rsidR="00C82E6D" w:rsidRDefault="00C82E6D" w:rsidP="0067261B">
      <w:pPr>
        <w:spacing w:line="480" w:lineRule="auto"/>
        <w:rPr>
          <w:b/>
          <w:bCs/>
          <w:noProof/>
          <w:sz w:val="24"/>
          <w:szCs w:val="24"/>
          <w:lang w:val="en-GB"/>
        </w:rPr>
      </w:pPr>
    </w:p>
    <w:p w14:paraId="09E43626" w14:textId="77777777" w:rsidR="00C82E6D" w:rsidRDefault="00C82E6D" w:rsidP="0067261B">
      <w:pPr>
        <w:spacing w:line="480" w:lineRule="auto"/>
        <w:rPr>
          <w:b/>
          <w:bCs/>
          <w:noProof/>
          <w:sz w:val="24"/>
          <w:szCs w:val="24"/>
          <w:lang w:val="en-GB"/>
        </w:rPr>
      </w:pPr>
    </w:p>
    <w:p w14:paraId="34F07CEB" w14:textId="77777777" w:rsidR="00C82E6D" w:rsidRDefault="00C82E6D" w:rsidP="0067261B">
      <w:pPr>
        <w:spacing w:line="480" w:lineRule="auto"/>
        <w:rPr>
          <w:b/>
          <w:bCs/>
          <w:noProof/>
          <w:sz w:val="24"/>
          <w:szCs w:val="24"/>
          <w:lang w:val="en-GB"/>
        </w:rPr>
      </w:pPr>
    </w:p>
    <w:p w14:paraId="3ACB1C31" w14:textId="77777777" w:rsidR="00C82E6D" w:rsidRDefault="00C82E6D" w:rsidP="0067261B">
      <w:pPr>
        <w:spacing w:line="480" w:lineRule="auto"/>
        <w:rPr>
          <w:b/>
          <w:bCs/>
          <w:noProof/>
          <w:sz w:val="24"/>
          <w:szCs w:val="24"/>
          <w:lang w:val="en-GB"/>
        </w:rPr>
      </w:pPr>
    </w:p>
    <w:p w14:paraId="70B57BF5" w14:textId="77777777" w:rsidR="00C82E6D" w:rsidRDefault="00C82E6D" w:rsidP="0067261B">
      <w:pPr>
        <w:spacing w:line="480" w:lineRule="auto"/>
        <w:rPr>
          <w:b/>
          <w:bCs/>
          <w:noProof/>
          <w:sz w:val="24"/>
          <w:szCs w:val="24"/>
          <w:lang w:val="en-GB"/>
        </w:rPr>
      </w:pPr>
    </w:p>
    <w:p w14:paraId="1902FA63" w14:textId="77777777" w:rsidR="00C82E6D" w:rsidRDefault="00C82E6D" w:rsidP="0067261B">
      <w:pPr>
        <w:spacing w:line="480" w:lineRule="auto"/>
        <w:rPr>
          <w:b/>
          <w:bCs/>
          <w:noProof/>
          <w:sz w:val="24"/>
          <w:szCs w:val="24"/>
          <w:lang w:val="en-GB"/>
        </w:rPr>
      </w:pPr>
    </w:p>
    <w:p w14:paraId="6981AB82" w14:textId="77777777" w:rsidR="00C82E6D" w:rsidRDefault="00C82E6D" w:rsidP="0067261B">
      <w:pPr>
        <w:spacing w:line="480" w:lineRule="auto"/>
        <w:rPr>
          <w:b/>
          <w:bCs/>
          <w:noProof/>
          <w:sz w:val="24"/>
          <w:szCs w:val="24"/>
          <w:lang w:val="en-GB"/>
        </w:rPr>
      </w:pPr>
    </w:p>
    <w:p w14:paraId="6EB60594" w14:textId="77777777" w:rsidR="00C82E6D" w:rsidRDefault="00C82E6D" w:rsidP="0067261B">
      <w:pPr>
        <w:spacing w:line="480" w:lineRule="auto"/>
        <w:rPr>
          <w:b/>
          <w:bCs/>
          <w:noProof/>
          <w:sz w:val="24"/>
          <w:szCs w:val="24"/>
          <w:lang w:val="en-GB"/>
        </w:rPr>
      </w:pPr>
    </w:p>
    <w:p w14:paraId="38DAC67F" w14:textId="77777777" w:rsidR="00C82E6D" w:rsidRDefault="00C82E6D" w:rsidP="0067261B">
      <w:pPr>
        <w:spacing w:line="480" w:lineRule="auto"/>
        <w:rPr>
          <w:b/>
          <w:bCs/>
          <w:noProof/>
          <w:sz w:val="24"/>
          <w:szCs w:val="24"/>
          <w:lang w:val="en-GB"/>
        </w:rPr>
      </w:pPr>
    </w:p>
    <w:p w14:paraId="1357190A" w14:textId="77777777" w:rsidR="00C82E6D" w:rsidRDefault="00C82E6D" w:rsidP="0067261B">
      <w:pPr>
        <w:spacing w:line="480" w:lineRule="auto"/>
        <w:rPr>
          <w:b/>
          <w:bCs/>
          <w:noProof/>
          <w:sz w:val="24"/>
          <w:szCs w:val="24"/>
          <w:lang w:val="en-GB"/>
        </w:rPr>
      </w:pPr>
    </w:p>
    <w:p w14:paraId="2E558F56" w14:textId="77777777" w:rsidR="00C82E6D" w:rsidRDefault="00C82E6D" w:rsidP="0067261B">
      <w:pPr>
        <w:spacing w:line="480" w:lineRule="auto"/>
        <w:rPr>
          <w:b/>
          <w:bCs/>
          <w:noProof/>
          <w:sz w:val="24"/>
          <w:szCs w:val="24"/>
          <w:lang w:val="en-GB"/>
        </w:rPr>
      </w:pPr>
    </w:p>
    <w:p w14:paraId="01940EAD" w14:textId="77777777" w:rsidR="00C82E6D" w:rsidRDefault="00C82E6D" w:rsidP="0067261B">
      <w:pPr>
        <w:spacing w:line="480" w:lineRule="auto"/>
        <w:rPr>
          <w:b/>
          <w:bCs/>
          <w:noProof/>
          <w:sz w:val="24"/>
          <w:szCs w:val="24"/>
          <w:lang w:val="en-GB"/>
        </w:rPr>
      </w:pPr>
    </w:p>
    <w:p w14:paraId="321A3874" w14:textId="77777777" w:rsidR="00C82E6D" w:rsidRDefault="00C82E6D" w:rsidP="0067261B">
      <w:pPr>
        <w:spacing w:line="480" w:lineRule="auto"/>
        <w:rPr>
          <w:b/>
          <w:bCs/>
          <w:noProof/>
          <w:sz w:val="24"/>
          <w:szCs w:val="24"/>
          <w:lang w:val="en-GB"/>
        </w:rPr>
      </w:pPr>
    </w:p>
    <w:p w14:paraId="6CD0BAED" w14:textId="77777777" w:rsidR="00C82E6D" w:rsidRDefault="00C82E6D" w:rsidP="0067261B">
      <w:pPr>
        <w:spacing w:line="480" w:lineRule="auto"/>
        <w:rPr>
          <w:b/>
          <w:bCs/>
          <w:noProof/>
          <w:sz w:val="24"/>
          <w:szCs w:val="24"/>
          <w:lang w:val="en-GB"/>
        </w:rPr>
      </w:pPr>
    </w:p>
    <w:p w14:paraId="7B21B0AC" w14:textId="77777777" w:rsidR="00C82E6D" w:rsidRDefault="00C82E6D" w:rsidP="0067261B">
      <w:pPr>
        <w:spacing w:line="480" w:lineRule="auto"/>
        <w:rPr>
          <w:b/>
          <w:bCs/>
          <w:noProof/>
          <w:sz w:val="24"/>
          <w:szCs w:val="24"/>
          <w:lang w:val="en-GB"/>
        </w:rPr>
      </w:pPr>
    </w:p>
    <w:p w14:paraId="12F39311" w14:textId="77777777" w:rsidR="00C82E6D" w:rsidRDefault="00C82E6D" w:rsidP="0067261B">
      <w:pPr>
        <w:spacing w:line="480" w:lineRule="auto"/>
        <w:rPr>
          <w:b/>
          <w:bCs/>
          <w:noProof/>
          <w:sz w:val="24"/>
          <w:szCs w:val="24"/>
          <w:lang w:val="en-GB"/>
        </w:rPr>
      </w:pPr>
    </w:p>
    <w:p w14:paraId="18B49977" w14:textId="77777777" w:rsidR="00C82E6D" w:rsidRDefault="00C82E6D" w:rsidP="0067261B">
      <w:pPr>
        <w:spacing w:line="480" w:lineRule="auto"/>
        <w:rPr>
          <w:b/>
          <w:bCs/>
          <w:noProof/>
          <w:sz w:val="24"/>
          <w:szCs w:val="24"/>
          <w:lang w:val="en-GB"/>
        </w:rPr>
      </w:pPr>
    </w:p>
    <w:p w14:paraId="6349AB38" w14:textId="77777777" w:rsidR="00C82E6D" w:rsidRDefault="00C82E6D" w:rsidP="0067261B">
      <w:pPr>
        <w:spacing w:line="480" w:lineRule="auto"/>
        <w:rPr>
          <w:b/>
          <w:bCs/>
          <w:noProof/>
          <w:sz w:val="24"/>
          <w:szCs w:val="24"/>
          <w:lang w:val="en-GB"/>
        </w:rPr>
      </w:pPr>
    </w:p>
    <w:p w14:paraId="78A447D8" w14:textId="251BEFEE" w:rsidR="0067261B" w:rsidRDefault="0067261B" w:rsidP="0067261B">
      <w:pPr>
        <w:spacing w:line="480" w:lineRule="auto"/>
        <w:rPr>
          <w:b/>
          <w:bCs/>
          <w:sz w:val="24"/>
          <w:szCs w:val="24"/>
          <w:lang w:val="en-GB"/>
        </w:rPr>
      </w:pPr>
      <w:r w:rsidRPr="00A925B4">
        <w:rPr>
          <w:b/>
          <w:bCs/>
          <w:noProof/>
          <w:sz w:val="24"/>
          <w:szCs w:val="24"/>
          <w:lang w:val="en-GB"/>
        </w:rPr>
        <w:t xml:space="preserve">Figure 1. </w:t>
      </w:r>
      <w:r w:rsidRPr="00A925B4">
        <w:rPr>
          <w:b/>
          <w:bCs/>
          <w:sz w:val="24"/>
          <w:szCs w:val="24"/>
          <w:lang w:val="en-GB"/>
        </w:rPr>
        <w:t xml:space="preserve">Regional-wise associations between age of </w:t>
      </w:r>
      <w:r w:rsidR="00F47FA4">
        <w:rPr>
          <w:b/>
          <w:bCs/>
          <w:sz w:val="24"/>
          <w:szCs w:val="24"/>
          <w:lang w:val="en-GB"/>
        </w:rPr>
        <w:t>first exposure to</w:t>
      </w:r>
      <w:r>
        <w:rPr>
          <w:b/>
          <w:bCs/>
          <w:sz w:val="24"/>
          <w:szCs w:val="24"/>
          <w:lang w:val="en-GB"/>
        </w:rPr>
        <w:t xml:space="preserve"> </w:t>
      </w:r>
      <w:proofErr w:type="gramStart"/>
      <w:r>
        <w:rPr>
          <w:b/>
          <w:bCs/>
          <w:sz w:val="24"/>
          <w:szCs w:val="24"/>
          <w:lang w:val="en-GB"/>
        </w:rPr>
        <w:t xml:space="preserve">Internet </w:t>
      </w:r>
      <w:r w:rsidRPr="00A925B4">
        <w:rPr>
          <w:b/>
          <w:bCs/>
          <w:sz w:val="24"/>
          <w:szCs w:val="24"/>
          <w:lang w:val="en-GB"/>
        </w:rPr>
        <w:t xml:space="preserve"> (</w:t>
      </w:r>
      <w:proofErr w:type="gramEnd"/>
      <w:r w:rsidRPr="00A925B4">
        <w:rPr>
          <w:b/>
          <w:bCs/>
          <w:sz w:val="24"/>
          <w:szCs w:val="24"/>
          <w:lang w:val="en-GB"/>
        </w:rPr>
        <w:t xml:space="preserve">exposure) and heavy </w:t>
      </w:r>
      <w:r>
        <w:rPr>
          <w:b/>
          <w:bCs/>
          <w:sz w:val="24"/>
          <w:szCs w:val="24"/>
          <w:lang w:val="en-GB"/>
        </w:rPr>
        <w:t>Internet use</w:t>
      </w:r>
      <w:r w:rsidRPr="00A925B4">
        <w:rPr>
          <w:b/>
          <w:bCs/>
          <w:sz w:val="24"/>
          <w:szCs w:val="24"/>
          <w:lang w:val="en-GB"/>
        </w:rPr>
        <w:t xml:space="preserve"> during weekend (outcome). Abbreviation: OR odds ratio; CI confidence interval. Overall estimate was obtained by meta-analysis with random effects. The model is survey-adjusted, weighted, and additionally adjusted for sex, country, and socioeconomic status</w:t>
      </w:r>
    </w:p>
    <w:p w14:paraId="0E7FB42E" w14:textId="16A9003B" w:rsidR="0067261B" w:rsidRDefault="0067261B" w:rsidP="004E289D">
      <w:pPr>
        <w:spacing w:line="480" w:lineRule="auto"/>
        <w:rPr>
          <w:sz w:val="24"/>
          <w:szCs w:val="24"/>
          <w:lang w:val="en-GB"/>
        </w:rPr>
      </w:pPr>
    </w:p>
    <w:p w14:paraId="6C7A880F" w14:textId="33C2A33B" w:rsidR="0067261B" w:rsidRDefault="0067261B" w:rsidP="004E289D">
      <w:pPr>
        <w:spacing w:line="480" w:lineRule="auto"/>
        <w:rPr>
          <w:sz w:val="24"/>
          <w:szCs w:val="24"/>
          <w:lang w:val="en-GB"/>
        </w:rPr>
      </w:pPr>
    </w:p>
    <w:p w14:paraId="4CFCEAF8" w14:textId="1DCF1273" w:rsidR="0067261B" w:rsidRDefault="0067261B" w:rsidP="004E289D">
      <w:pPr>
        <w:spacing w:line="480" w:lineRule="auto"/>
        <w:rPr>
          <w:sz w:val="24"/>
          <w:szCs w:val="24"/>
          <w:lang w:val="en-GB"/>
        </w:rPr>
      </w:pPr>
    </w:p>
    <w:p w14:paraId="2C037DE6" w14:textId="1D01BC45" w:rsidR="0067261B" w:rsidRDefault="0067261B" w:rsidP="004E289D">
      <w:pPr>
        <w:spacing w:line="480" w:lineRule="auto"/>
        <w:rPr>
          <w:sz w:val="24"/>
          <w:szCs w:val="24"/>
          <w:lang w:val="en-GB"/>
        </w:rPr>
      </w:pPr>
    </w:p>
    <w:p w14:paraId="66A06321" w14:textId="3207CE71" w:rsidR="0067261B" w:rsidRDefault="0067261B" w:rsidP="004E289D">
      <w:pPr>
        <w:spacing w:line="480" w:lineRule="auto"/>
        <w:rPr>
          <w:sz w:val="24"/>
          <w:szCs w:val="24"/>
          <w:lang w:val="en-GB"/>
        </w:rPr>
      </w:pPr>
    </w:p>
    <w:p w14:paraId="70879CA4" w14:textId="1D912662" w:rsidR="0067261B" w:rsidRDefault="0067261B" w:rsidP="004E289D">
      <w:pPr>
        <w:spacing w:line="480" w:lineRule="auto"/>
        <w:rPr>
          <w:sz w:val="24"/>
          <w:szCs w:val="24"/>
          <w:lang w:val="en-GB"/>
        </w:rPr>
      </w:pPr>
    </w:p>
    <w:p w14:paraId="647A392B" w14:textId="3FF00FF8" w:rsidR="0067261B" w:rsidRDefault="0067261B" w:rsidP="004E289D">
      <w:pPr>
        <w:spacing w:line="480" w:lineRule="auto"/>
        <w:rPr>
          <w:sz w:val="24"/>
          <w:szCs w:val="24"/>
          <w:lang w:val="en-GB"/>
        </w:rPr>
      </w:pPr>
    </w:p>
    <w:p w14:paraId="77A185C4" w14:textId="0A95A6E5" w:rsidR="0067261B" w:rsidRDefault="0067261B" w:rsidP="004E289D">
      <w:pPr>
        <w:spacing w:line="480" w:lineRule="auto"/>
        <w:rPr>
          <w:sz w:val="24"/>
          <w:szCs w:val="24"/>
          <w:lang w:val="en-GB"/>
        </w:rPr>
      </w:pPr>
    </w:p>
    <w:p w14:paraId="2A3047E1" w14:textId="19424E6B" w:rsidR="0067261B" w:rsidRDefault="0067261B" w:rsidP="004E289D">
      <w:pPr>
        <w:spacing w:line="480" w:lineRule="auto"/>
        <w:rPr>
          <w:sz w:val="24"/>
          <w:szCs w:val="24"/>
          <w:lang w:val="en-GB"/>
        </w:rPr>
      </w:pPr>
    </w:p>
    <w:p w14:paraId="1FC723E2" w14:textId="35B853BE" w:rsidR="0067261B" w:rsidRDefault="0067261B" w:rsidP="004E289D">
      <w:pPr>
        <w:spacing w:line="480" w:lineRule="auto"/>
        <w:rPr>
          <w:sz w:val="24"/>
          <w:szCs w:val="24"/>
          <w:lang w:val="en-GB"/>
        </w:rPr>
      </w:pPr>
    </w:p>
    <w:p w14:paraId="7B71742A" w14:textId="4A826EC9" w:rsidR="0067261B" w:rsidRDefault="0067261B" w:rsidP="004E289D">
      <w:pPr>
        <w:spacing w:line="480" w:lineRule="auto"/>
        <w:rPr>
          <w:sz w:val="24"/>
          <w:szCs w:val="24"/>
          <w:lang w:val="en-GB"/>
        </w:rPr>
      </w:pPr>
    </w:p>
    <w:p w14:paraId="08E0F4DB" w14:textId="391E3540" w:rsidR="0067261B" w:rsidRDefault="0067261B" w:rsidP="004E289D">
      <w:pPr>
        <w:spacing w:line="480" w:lineRule="auto"/>
        <w:rPr>
          <w:sz w:val="24"/>
          <w:szCs w:val="24"/>
          <w:lang w:val="en-GB"/>
        </w:rPr>
      </w:pPr>
    </w:p>
    <w:p w14:paraId="56ED9ADC" w14:textId="745AD61E" w:rsidR="0067261B" w:rsidRDefault="0067261B" w:rsidP="004E289D">
      <w:pPr>
        <w:spacing w:line="480" w:lineRule="auto"/>
        <w:rPr>
          <w:sz w:val="24"/>
          <w:szCs w:val="24"/>
          <w:lang w:val="en-GB"/>
        </w:rPr>
      </w:pPr>
    </w:p>
    <w:p w14:paraId="5BD521D3" w14:textId="1A7F8F45" w:rsidR="0067261B" w:rsidRDefault="0067261B" w:rsidP="004E289D">
      <w:pPr>
        <w:spacing w:line="480" w:lineRule="auto"/>
        <w:rPr>
          <w:sz w:val="24"/>
          <w:szCs w:val="24"/>
          <w:lang w:val="en-GB"/>
        </w:rPr>
      </w:pPr>
    </w:p>
    <w:p w14:paraId="22B22A79" w14:textId="281416AF" w:rsidR="0067261B" w:rsidRDefault="0067261B" w:rsidP="004E289D">
      <w:pPr>
        <w:spacing w:line="480" w:lineRule="auto"/>
        <w:rPr>
          <w:sz w:val="24"/>
          <w:szCs w:val="24"/>
          <w:lang w:val="en-GB"/>
        </w:rPr>
      </w:pPr>
    </w:p>
    <w:p w14:paraId="01A44D73" w14:textId="1D59398B" w:rsidR="0067261B" w:rsidRPr="00A925B4" w:rsidRDefault="0067261B" w:rsidP="0067261B">
      <w:pPr>
        <w:spacing w:line="480" w:lineRule="auto"/>
        <w:rPr>
          <w:b/>
          <w:bCs/>
          <w:sz w:val="24"/>
          <w:szCs w:val="24"/>
          <w:lang w:val="en-GB"/>
        </w:rPr>
      </w:pPr>
      <w:r w:rsidRPr="00A925B4">
        <w:rPr>
          <w:b/>
          <w:bCs/>
          <w:sz w:val="24"/>
          <w:szCs w:val="24"/>
          <w:lang w:val="en-GB"/>
        </w:rPr>
        <w:t xml:space="preserve">Figure 2. Regional-wise associations between age of </w:t>
      </w:r>
      <w:r w:rsidR="00F47FA4">
        <w:rPr>
          <w:b/>
          <w:bCs/>
          <w:sz w:val="24"/>
          <w:szCs w:val="24"/>
          <w:lang w:val="en-GB"/>
        </w:rPr>
        <w:t xml:space="preserve">first exposure to </w:t>
      </w:r>
      <w:proofErr w:type="gramStart"/>
      <w:r>
        <w:rPr>
          <w:b/>
          <w:bCs/>
          <w:sz w:val="24"/>
          <w:szCs w:val="24"/>
          <w:lang w:val="en-GB"/>
        </w:rPr>
        <w:t xml:space="preserve">Internet  </w:t>
      </w:r>
      <w:r w:rsidRPr="00A925B4">
        <w:rPr>
          <w:b/>
          <w:bCs/>
          <w:sz w:val="24"/>
          <w:szCs w:val="24"/>
          <w:lang w:val="en-GB"/>
        </w:rPr>
        <w:t>(</w:t>
      </w:r>
      <w:proofErr w:type="gramEnd"/>
      <w:r w:rsidRPr="00A925B4">
        <w:rPr>
          <w:b/>
          <w:bCs/>
          <w:sz w:val="24"/>
          <w:szCs w:val="24"/>
          <w:lang w:val="en-GB"/>
        </w:rPr>
        <w:t xml:space="preserve">exposure) and heavy </w:t>
      </w:r>
      <w:r>
        <w:rPr>
          <w:b/>
          <w:bCs/>
          <w:sz w:val="24"/>
          <w:szCs w:val="24"/>
          <w:lang w:val="en-GB"/>
        </w:rPr>
        <w:t>Internet use</w:t>
      </w:r>
      <w:r w:rsidRPr="00A925B4">
        <w:rPr>
          <w:b/>
          <w:bCs/>
          <w:sz w:val="24"/>
          <w:szCs w:val="24"/>
          <w:lang w:val="en-GB"/>
        </w:rPr>
        <w:t xml:space="preserve"> during weekdays excluding school (outcome). Abbreviation: OR odds ratio; CI confidence interval. Overall estimate was obtained by meta-analysis with random effects. The model is survey-adjusted, weighted, and additionally adjusted for sex, country, and socioeconomic status</w:t>
      </w:r>
    </w:p>
    <w:p w14:paraId="25B7104B" w14:textId="46AAE97E" w:rsidR="0067261B" w:rsidRDefault="0067261B" w:rsidP="004E289D">
      <w:pPr>
        <w:spacing w:line="480" w:lineRule="auto"/>
        <w:rPr>
          <w:sz w:val="24"/>
          <w:szCs w:val="24"/>
          <w:lang w:val="en-GB"/>
        </w:rPr>
      </w:pPr>
    </w:p>
    <w:p w14:paraId="25CC7332" w14:textId="2F6C18A3" w:rsidR="0067261B" w:rsidRDefault="0067261B" w:rsidP="004E289D">
      <w:pPr>
        <w:spacing w:line="480" w:lineRule="auto"/>
        <w:rPr>
          <w:sz w:val="24"/>
          <w:szCs w:val="24"/>
          <w:lang w:val="en-GB"/>
        </w:rPr>
      </w:pPr>
    </w:p>
    <w:p w14:paraId="60F9E607" w14:textId="6DFA78F3" w:rsidR="0067261B" w:rsidRDefault="0067261B" w:rsidP="004E289D">
      <w:pPr>
        <w:spacing w:line="480" w:lineRule="auto"/>
        <w:rPr>
          <w:sz w:val="24"/>
          <w:szCs w:val="24"/>
          <w:lang w:val="en-GB"/>
        </w:rPr>
      </w:pPr>
    </w:p>
    <w:p w14:paraId="3CFEFD63" w14:textId="1D4B833A" w:rsidR="0067261B" w:rsidRDefault="0067261B" w:rsidP="004E289D">
      <w:pPr>
        <w:spacing w:line="480" w:lineRule="auto"/>
        <w:rPr>
          <w:sz w:val="24"/>
          <w:szCs w:val="24"/>
          <w:lang w:val="en-GB"/>
        </w:rPr>
      </w:pPr>
    </w:p>
    <w:p w14:paraId="74F60DC0" w14:textId="1E7A7C1B" w:rsidR="0067261B" w:rsidRDefault="0067261B" w:rsidP="004E289D">
      <w:pPr>
        <w:spacing w:line="480" w:lineRule="auto"/>
        <w:rPr>
          <w:sz w:val="24"/>
          <w:szCs w:val="24"/>
          <w:lang w:val="en-GB"/>
        </w:rPr>
      </w:pPr>
    </w:p>
    <w:p w14:paraId="5BF7ED4D" w14:textId="5157867A" w:rsidR="0067261B" w:rsidRDefault="0067261B" w:rsidP="004E289D">
      <w:pPr>
        <w:spacing w:line="480" w:lineRule="auto"/>
        <w:rPr>
          <w:sz w:val="24"/>
          <w:szCs w:val="24"/>
          <w:lang w:val="en-GB"/>
        </w:rPr>
      </w:pPr>
    </w:p>
    <w:p w14:paraId="25CED88E" w14:textId="0B567816" w:rsidR="0067261B" w:rsidRDefault="0067261B" w:rsidP="004E289D">
      <w:pPr>
        <w:spacing w:line="480" w:lineRule="auto"/>
        <w:rPr>
          <w:sz w:val="24"/>
          <w:szCs w:val="24"/>
          <w:lang w:val="en-GB"/>
        </w:rPr>
      </w:pPr>
    </w:p>
    <w:p w14:paraId="0F4995D3" w14:textId="15056B1D" w:rsidR="0067261B" w:rsidRDefault="0067261B" w:rsidP="004E289D">
      <w:pPr>
        <w:spacing w:line="480" w:lineRule="auto"/>
        <w:rPr>
          <w:sz w:val="24"/>
          <w:szCs w:val="24"/>
          <w:lang w:val="en-GB"/>
        </w:rPr>
      </w:pPr>
    </w:p>
    <w:p w14:paraId="0BEAF880" w14:textId="504C0C7B" w:rsidR="0067261B" w:rsidRDefault="0067261B" w:rsidP="004E289D">
      <w:pPr>
        <w:spacing w:line="480" w:lineRule="auto"/>
        <w:rPr>
          <w:sz w:val="24"/>
          <w:szCs w:val="24"/>
          <w:lang w:val="en-GB"/>
        </w:rPr>
      </w:pPr>
    </w:p>
    <w:p w14:paraId="1087BD8D" w14:textId="427F8F28" w:rsidR="0067261B" w:rsidRDefault="0067261B" w:rsidP="004E289D">
      <w:pPr>
        <w:spacing w:line="480" w:lineRule="auto"/>
        <w:rPr>
          <w:sz w:val="24"/>
          <w:szCs w:val="24"/>
          <w:lang w:val="en-GB"/>
        </w:rPr>
      </w:pPr>
    </w:p>
    <w:p w14:paraId="32A3CF91" w14:textId="515EC5F1" w:rsidR="0067261B" w:rsidRDefault="0067261B" w:rsidP="004E289D">
      <w:pPr>
        <w:spacing w:line="480" w:lineRule="auto"/>
        <w:rPr>
          <w:sz w:val="24"/>
          <w:szCs w:val="24"/>
          <w:lang w:val="en-GB"/>
        </w:rPr>
      </w:pPr>
    </w:p>
    <w:p w14:paraId="3BDC8757" w14:textId="1640F7D0" w:rsidR="0067261B" w:rsidRDefault="0067261B" w:rsidP="004E289D">
      <w:pPr>
        <w:spacing w:line="480" w:lineRule="auto"/>
        <w:rPr>
          <w:sz w:val="24"/>
          <w:szCs w:val="24"/>
          <w:lang w:val="en-GB"/>
        </w:rPr>
      </w:pPr>
    </w:p>
    <w:p w14:paraId="556FACEB" w14:textId="3849A2B7" w:rsidR="0067261B" w:rsidRDefault="0067261B" w:rsidP="004E289D">
      <w:pPr>
        <w:spacing w:line="480" w:lineRule="auto"/>
        <w:rPr>
          <w:sz w:val="24"/>
          <w:szCs w:val="24"/>
          <w:lang w:val="en-GB"/>
        </w:rPr>
      </w:pPr>
    </w:p>
    <w:p w14:paraId="7BF41D2B" w14:textId="5F1000E4" w:rsidR="0067261B" w:rsidRDefault="0067261B" w:rsidP="004E289D">
      <w:pPr>
        <w:spacing w:line="480" w:lineRule="auto"/>
        <w:rPr>
          <w:sz w:val="24"/>
          <w:szCs w:val="24"/>
          <w:lang w:val="en-GB"/>
        </w:rPr>
      </w:pPr>
    </w:p>
    <w:p w14:paraId="171C0B1F" w14:textId="29E35E08" w:rsidR="0067261B" w:rsidRDefault="0067261B" w:rsidP="004E289D">
      <w:pPr>
        <w:spacing w:line="480" w:lineRule="auto"/>
        <w:rPr>
          <w:sz w:val="24"/>
          <w:szCs w:val="24"/>
          <w:lang w:val="en-GB"/>
        </w:rPr>
      </w:pPr>
    </w:p>
    <w:p w14:paraId="7A46EF1D" w14:textId="299FE56F" w:rsidR="0067261B" w:rsidRPr="00A925B4" w:rsidRDefault="0067261B" w:rsidP="0067261B">
      <w:pPr>
        <w:spacing w:line="480" w:lineRule="auto"/>
        <w:rPr>
          <w:b/>
          <w:bCs/>
          <w:sz w:val="24"/>
          <w:szCs w:val="24"/>
          <w:lang w:val="en-GB"/>
        </w:rPr>
      </w:pPr>
      <w:r w:rsidRPr="00A925B4">
        <w:rPr>
          <w:b/>
          <w:bCs/>
          <w:noProof/>
          <w:sz w:val="24"/>
          <w:szCs w:val="24"/>
          <w:lang w:val="en-GB"/>
        </w:rPr>
        <w:t xml:space="preserve">Figure 3. </w:t>
      </w:r>
      <w:r w:rsidRPr="00A925B4">
        <w:rPr>
          <w:b/>
          <w:bCs/>
          <w:sz w:val="24"/>
          <w:szCs w:val="24"/>
          <w:lang w:val="en-GB"/>
        </w:rPr>
        <w:t xml:space="preserve">Regional-wise associations between age of </w:t>
      </w:r>
      <w:r w:rsidR="00F47FA4">
        <w:rPr>
          <w:b/>
          <w:bCs/>
          <w:sz w:val="24"/>
          <w:szCs w:val="24"/>
          <w:lang w:val="en-GB"/>
        </w:rPr>
        <w:t xml:space="preserve">first exposure </w:t>
      </w:r>
      <w:proofErr w:type="gramStart"/>
      <w:r w:rsidR="00F47FA4">
        <w:rPr>
          <w:b/>
          <w:bCs/>
          <w:sz w:val="24"/>
          <w:szCs w:val="24"/>
          <w:lang w:val="en-GB"/>
        </w:rPr>
        <w:t>to</w:t>
      </w:r>
      <w:r w:rsidR="00A958B1">
        <w:rPr>
          <w:b/>
          <w:bCs/>
          <w:sz w:val="24"/>
          <w:szCs w:val="24"/>
          <w:lang w:val="en-GB"/>
        </w:rPr>
        <w:t xml:space="preserve"> </w:t>
      </w:r>
      <w:r w:rsidRPr="00A925B4">
        <w:rPr>
          <w:b/>
          <w:bCs/>
          <w:sz w:val="24"/>
          <w:szCs w:val="24"/>
          <w:lang w:val="en-GB"/>
        </w:rPr>
        <w:t xml:space="preserve"> Internet</w:t>
      </w:r>
      <w:proofErr w:type="gramEnd"/>
      <w:r w:rsidRPr="00A925B4">
        <w:rPr>
          <w:b/>
          <w:bCs/>
          <w:sz w:val="24"/>
          <w:szCs w:val="24"/>
          <w:lang w:val="en-GB"/>
        </w:rPr>
        <w:t xml:space="preserve"> (exposure) and heavy </w:t>
      </w:r>
      <w:r>
        <w:rPr>
          <w:b/>
          <w:bCs/>
          <w:sz w:val="24"/>
          <w:szCs w:val="24"/>
          <w:lang w:val="en-GB"/>
        </w:rPr>
        <w:t>Internet use</w:t>
      </w:r>
      <w:r w:rsidRPr="00A925B4">
        <w:rPr>
          <w:b/>
          <w:bCs/>
          <w:sz w:val="24"/>
          <w:szCs w:val="24"/>
          <w:lang w:val="en-GB"/>
        </w:rPr>
        <w:t xml:space="preserve"> during school (outcome). Abbreviation: OR odds ratio; CI confidence interval. Overall estimate was obtained by meta-analysis with random effects. The model is survey-adjusted, weighted, and additionally adjusted for sex, country, and socioeconomic status</w:t>
      </w:r>
    </w:p>
    <w:p w14:paraId="25B0DB77" w14:textId="2C7BE128" w:rsidR="00EB4B5A" w:rsidRDefault="00EB4B5A" w:rsidP="004E289D">
      <w:pPr>
        <w:spacing w:line="480" w:lineRule="auto"/>
        <w:rPr>
          <w:sz w:val="24"/>
          <w:szCs w:val="24"/>
          <w:lang w:val="en-GB"/>
        </w:rPr>
      </w:pPr>
    </w:p>
    <w:tbl>
      <w:tblPr>
        <w:tblStyle w:val="TableGrid1"/>
        <w:tblpPr w:leftFromText="141" w:rightFromText="141" w:vertAnchor="page" w:horzAnchor="margin" w:tblpXSpec="center" w:tblpY="2053"/>
        <w:tblW w:w="0" w:type="auto"/>
        <w:tblLook w:val="04A0" w:firstRow="1" w:lastRow="0" w:firstColumn="1" w:lastColumn="0" w:noHBand="0" w:noVBand="1"/>
      </w:tblPr>
      <w:tblGrid>
        <w:gridCol w:w="1945"/>
        <w:gridCol w:w="2074"/>
        <w:gridCol w:w="1969"/>
      </w:tblGrid>
      <w:tr w:rsidR="00EB4B5A" w:rsidRPr="00927E8E" w14:paraId="2745F42E" w14:textId="77777777" w:rsidTr="00365C12">
        <w:tc>
          <w:tcPr>
            <w:tcW w:w="5988" w:type="dxa"/>
            <w:gridSpan w:val="3"/>
          </w:tcPr>
          <w:p w14:paraId="7A1F8BDF" w14:textId="77777777" w:rsidR="00EB4B5A" w:rsidRPr="00927E8E" w:rsidRDefault="00EB4B5A" w:rsidP="00EB4B5A">
            <w:pPr>
              <w:rPr>
                <w:b/>
                <w:bCs/>
              </w:rPr>
            </w:pPr>
            <w:proofErr w:type="spellStart"/>
            <w:r w:rsidRPr="00927E8E">
              <w:rPr>
                <w:b/>
                <w:bCs/>
              </w:rPr>
              <w:lastRenderedPageBreak/>
              <w:t>eTable</w:t>
            </w:r>
            <w:proofErr w:type="spellEnd"/>
            <w:r w:rsidRPr="00927E8E">
              <w:rPr>
                <w:b/>
                <w:bCs/>
              </w:rPr>
              <w:t xml:space="preserve"> 1. </w:t>
            </w:r>
            <w:proofErr w:type="spellStart"/>
            <w:r w:rsidRPr="00927E8E">
              <w:rPr>
                <w:b/>
                <w:bCs/>
              </w:rPr>
              <w:t>Weighted</w:t>
            </w:r>
            <w:proofErr w:type="spellEnd"/>
            <w:r w:rsidRPr="00927E8E">
              <w:rPr>
                <w:b/>
                <w:bCs/>
              </w:rPr>
              <w:t xml:space="preserve"> </w:t>
            </w:r>
            <w:proofErr w:type="spellStart"/>
            <w:r w:rsidRPr="00927E8E">
              <w:rPr>
                <w:b/>
                <w:bCs/>
              </w:rPr>
              <w:t>sample</w:t>
            </w:r>
            <w:proofErr w:type="spellEnd"/>
            <w:r w:rsidRPr="00927E8E">
              <w:rPr>
                <w:b/>
                <w:bCs/>
              </w:rPr>
              <w:t xml:space="preserve">. </w:t>
            </w:r>
          </w:p>
        </w:tc>
      </w:tr>
      <w:tr w:rsidR="00EB4B5A" w:rsidRPr="00EB4B5A" w14:paraId="4D948AAD" w14:textId="77777777" w:rsidTr="00365C12">
        <w:tc>
          <w:tcPr>
            <w:tcW w:w="1945" w:type="dxa"/>
          </w:tcPr>
          <w:p w14:paraId="41B56074" w14:textId="77777777" w:rsidR="00EB4B5A" w:rsidRPr="00EB4B5A" w:rsidRDefault="00EB4B5A" w:rsidP="00EB4B5A">
            <w:proofErr w:type="spellStart"/>
            <w:r w:rsidRPr="00EB4B5A">
              <w:t>Region</w:t>
            </w:r>
            <w:proofErr w:type="spellEnd"/>
          </w:p>
        </w:tc>
        <w:tc>
          <w:tcPr>
            <w:tcW w:w="2074" w:type="dxa"/>
          </w:tcPr>
          <w:p w14:paraId="66421083" w14:textId="77777777" w:rsidR="00EB4B5A" w:rsidRPr="00EB4B5A" w:rsidRDefault="00EB4B5A" w:rsidP="00EB4B5A">
            <w:r w:rsidRPr="00EB4B5A">
              <w:t>Country</w:t>
            </w:r>
          </w:p>
        </w:tc>
        <w:tc>
          <w:tcPr>
            <w:tcW w:w="1969" w:type="dxa"/>
          </w:tcPr>
          <w:p w14:paraId="0F8071A5" w14:textId="77777777" w:rsidR="00EB4B5A" w:rsidRPr="00EB4B5A" w:rsidRDefault="00EB4B5A" w:rsidP="00EB4B5A">
            <w:proofErr w:type="spellStart"/>
            <w:r w:rsidRPr="00EB4B5A">
              <w:t>Weighted</w:t>
            </w:r>
            <w:proofErr w:type="spellEnd"/>
            <w:r w:rsidRPr="00EB4B5A">
              <w:t xml:space="preserve"> N</w:t>
            </w:r>
          </w:p>
        </w:tc>
      </w:tr>
      <w:tr w:rsidR="00EB4B5A" w:rsidRPr="00EB4B5A" w14:paraId="5D03DC20" w14:textId="77777777" w:rsidTr="00365C12">
        <w:tc>
          <w:tcPr>
            <w:tcW w:w="1945" w:type="dxa"/>
          </w:tcPr>
          <w:p w14:paraId="5698F07A" w14:textId="77777777" w:rsidR="00EB4B5A" w:rsidRPr="00EB4B5A" w:rsidRDefault="00EB4B5A" w:rsidP="00EB4B5A">
            <w:proofErr w:type="spellStart"/>
            <w:r w:rsidRPr="00EB4B5A">
              <w:t>America</w:t>
            </w:r>
            <w:proofErr w:type="spellEnd"/>
            <w:r w:rsidRPr="00EB4B5A">
              <w:t xml:space="preserve"> A</w:t>
            </w:r>
          </w:p>
        </w:tc>
        <w:tc>
          <w:tcPr>
            <w:tcW w:w="2074" w:type="dxa"/>
          </w:tcPr>
          <w:p w14:paraId="444E6C29" w14:textId="77777777" w:rsidR="00EB4B5A" w:rsidRPr="00EB4B5A" w:rsidRDefault="00EB4B5A" w:rsidP="00EB4B5A">
            <w:proofErr w:type="spellStart"/>
            <w:r w:rsidRPr="00EB4B5A">
              <w:t>United</w:t>
            </w:r>
            <w:proofErr w:type="spellEnd"/>
            <w:r w:rsidRPr="00EB4B5A">
              <w:t xml:space="preserve"> States</w:t>
            </w:r>
          </w:p>
        </w:tc>
        <w:tc>
          <w:tcPr>
            <w:tcW w:w="1969" w:type="dxa"/>
          </w:tcPr>
          <w:p w14:paraId="0F9833B2" w14:textId="77777777" w:rsidR="00EB4B5A" w:rsidRPr="00EB4B5A" w:rsidRDefault="00EB4B5A" w:rsidP="00EB4B5A">
            <w:r w:rsidRPr="00EB4B5A">
              <w:t>3,559,045</w:t>
            </w:r>
          </w:p>
        </w:tc>
      </w:tr>
      <w:tr w:rsidR="00EB4B5A" w:rsidRPr="00EB4B5A" w14:paraId="2AAD9397" w14:textId="77777777" w:rsidTr="00365C12">
        <w:tc>
          <w:tcPr>
            <w:tcW w:w="1945" w:type="dxa"/>
          </w:tcPr>
          <w:p w14:paraId="782094C2" w14:textId="77777777" w:rsidR="00EB4B5A" w:rsidRPr="00EB4B5A" w:rsidRDefault="00EB4B5A" w:rsidP="00EB4B5A">
            <w:proofErr w:type="spellStart"/>
            <w:r w:rsidRPr="00EB4B5A">
              <w:t>America</w:t>
            </w:r>
            <w:proofErr w:type="spellEnd"/>
            <w:r w:rsidRPr="00EB4B5A">
              <w:t xml:space="preserve"> B/C</w:t>
            </w:r>
          </w:p>
        </w:tc>
        <w:tc>
          <w:tcPr>
            <w:tcW w:w="2074" w:type="dxa"/>
          </w:tcPr>
          <w:p w14:paraId="14F7CE37" w14:textId="77777777" w:rsidR="00EB4B5A" w:rsidRPr="00EB4B5A" w:rsidRDefault="00EB4B5A" w:rsidP="00EB4B5A">
            <w:proofErr w:type="spellStart"/>
            <w:r w:rsidRPr="00EB4B5A">
              <w:t>Brazil</w:t>
            </w:r>
            <w:proofErr w:type="spellEnd"/>
          </w:p>
        </w:tc>
        <w:tc>
          <w:tcPr>
            <w:tcW w:w="1969" w:type="dxa"/>
          </w:tcPr>
          <w:p w14:paraId="01AED1A7" w14:textId="77777777" w:rsidR="00EB4B5A" w:rsidRPr="00EB4B5A" w:rsidRDefault="00EB4B5A" w:rsidP="00EB4B5A">
            <w:r w:rsidRPr="00EB4B5A">
              <w:t>2,036,861</w:t>
            </w:r>
          </w:p>
        </w:tc>
      </w:tr>
      <w:tr w:rsidR="00EB4B5A" w:rsidRPr="00EB4B5A" w14:paraId="41EF1008" w14:textId="77777777" w:rsidTr="00365C12">
        <w:tc>
          <w:tcPr>
            <w:tcW w:w="1945" w:type="dxa"/>
          </w:tcPr>
          <w:p w14:paraId="6003C9DE" w14:textId="77777777" w:rsidR="00EB4B5A" w:rsidRPr="00EB4B5A" w:rsidRDefault="00EB4B5A" w:rsidP="00EB4B5A"/>
        </w:tc>
        <w:tc>
          <w:tcPr>
            <w:tcW w:w="2074" w:type="dxa"/>
          </w:tcPr>
          <w:p w14:paraId="0C643B78" w14:textId="77777777" w:rsidR="00EB4B5A" w:rsidRPr="00EB4B5A" w:rsidRDefault="00EB4B5A" w:rsidP="00EB4B5A">
            <w:r w:rsidRPr="00EB4B5A">
              <w:t>Chile</w:t>
            </w:r>
          </w:p>
        </w:tc>
        <w:tc>
          <w:tcPr>
            <w:tcW w:w="1969" w:type="dxa"/>
          </w:tcPr>
          <w:p w14:paraId="7C4A1AB2" w14:textId="77777777" w:rsidR="00EB4B5A" w:rsidRPr="00EB4B5A" w:rsidRDefault="00EB4B5A" w:rsidP="00EB4B5A">
            <w:r w:rsidRPr="00EB4B5A">
              <w:t>213,832</w:t>
            </w:r>
          </w:p>
        </w:tc>
      </w:tr>
      <w:tr w:rsidR="00EB4B5A" w:rsidRPr="00EB4B5A" w14:paraId="279D9115" w14:textId="77777777" w:rsidTr="00365C12">
        <w:tc>
          <w:tcPr>
            <w:tcW w:w="1945" w:type="dxa"/>
          </w:tcPr>
          <w:p w14:paraId="0B46D601" w14:textId="77777777" w:rsidR="00EB4B5A" w:rsidRPr="00EB4B5A" w:rsidRDefault="00EB4B5A" w:rsidP="00EB4B5A"/>
        </w:tc>
        <w:tc>
          <w:tcPr>
            <w:tcW w:w="2074" w:type="dxa"/>
          </w:tcPr>
          <w:p w14:paraId="378CA8B3" w14:textId="77777777" w:rsidR="00EB4B5A" w:rsidRPr="00EB4B5A" w:rsidRDefault="00EB4B5A" w:rsidP="00EB4B5A">
            <w:r w:rsidRPr="00EB4B5A">
              <w:t>Costa rica</w:t>
            </w:r>
          </w:p>
        </w:tc>
        <w:tc>
          <w:tcPr>
            <w:tcW w:w="1969" w:type="dxa"/>
          </w:tcPr>
          <w:p w14:paraId="2A30A7AE" w14:textId="77777777" w:rsidR="00EB4B5A" w:rsidRPr="00EB4B5A" w:rsidRDefault="00EB4B5A" w:rsidP="00EB4B5A">
            <w:r w:rsidRPr="00EB4B5A">
              <w:t>45,475</w:t>
            </w:r>
          </w:p>
        </w:tc>
      </w:tr>
      <w:tr w:rsidR="00EB4B5A" w:rsidRPr="00EB4B5A" w14:paraId="37DC6F12" w14:textId="77777777" w:rsidTr="00365C12">
        <w:tc>
          <w:tcPr>
            <w:tcW w:w="1945" w:type="dxa"/>
          </w:tcPr>
          <w:p w14:paraId="62D3A86C" w14:textId="77777777" w:rsidR="00EB4B5A" w:rsidRPr="00EB4B5A" w:rsidRDefault="00EB4B5A" w:rsidP="00EB4B5A"/>
        </w:tc>
        <w:tc>
          <w:tcPr>
            <w:tcW w:w="2074" w:type="dxa"/>
          </w:tcPr>
          <w:p w14:paraId="6CF1103F" w14:textId="77777777" w:rsidR="00EB4B5A" w:rsidRPr="00EB4B5A" w:rsidRDefault="00EB4B5A" w:rsidP="00EB4B5A">
            <w:proofErr w:type="spellStart"/>
            <w:r w:rsidRPr="00EB4B5A">
              <w:t>Dominican</w:t>
            </w:r>
            <w:proofErr w:type="spellEnd"/>
            <w:r w:rsidRPr="00EB4B5A">
              <w:t xml:space="preserve"> </w:t>
            </w:r>
            <w:proofErr w:type="spellStart"/>
            <w:r w:rsidRPr="00EB4B5A">
              <w:t>Republic</w:t>
            </w:r>
            <w:proofErr w:type="spellEnd"/>
          </w:p>
        </w:tc>
        <w:tc>
          <w:tcPr>
            <w:tcW w:w="1969" w:type="dxa"/>
          </w:tcPr>
          <w:p w14:paraId="770938FE" w14:textId="77777777" w:rsidR="00EB4B5A" w:rsidRPr="00EB4B5A" w:rsidRDefault="00EB4B5A" w:rsidP="00EB4B5A">
            <w:r w:rsidRPr="00EB4B5A">
              <w:t>140,330</w:t>
            </w:r>
          </w:p>
        </w:tc>
      </w:tr>
      <w:tr w:rsidR="00EB4B5A" w:rsidRPr="00EB4B5A" w14:paraId="702508F9" w14:textId="77777777" w:rsidTr="00365C12">
        <w:tc>
          <w:tcPr>
            <w:tcW w:w="1945" w:type="dxa"/>
          </w:tcPr>
          <w:p w14:paraId="1E9DD6B0" w14:textId="77777777" w:rsidR="00EB4B5A" w:rsidRPr="00EB4B5A" w:rsidRDefault="00EB4B5A" w:rsidP="00EB4B5A"/>
        </w:tc>
        <w:tc>
          <w:tcPr>
            <w:tcW w:w="2074" w:type="dxa"/>
          </w:tcPr>
          <w:p w14:paraId="2841ECEA" w14:textId="77777777" w:rsidR="00EB4B5A" w:rsidRPr="00EB4B5A" w:rsidRDefault="00EB4B5A" w:rsidP="00EB4B5A">
            <w:proofErr w:type="spellStart"/>
            <w:r w:rsidRPr="00EB4B5A">
              <w:t>Mexico</w:t>
            </w:r>
            <w:proofErr w:type="spellEnd"/>
          </w:p>
        </w:tc>
        <w:tc>
          <w:tcPr>
            <w:tcW w:w="1969" w:type="dxa"/>
          </w:tcPr>
          <w:p w14:paraId="042A91B9" w14:textId="77777777" w:rsidR="00EB4B5A" w:rsidRPr="00EB4B5A" w:rsidRDefault="00EB4B5A" w:rsidP="00EB4B5A">
            <w:r w:rsidRPr="00EB4B5A">
              <w:t>1,480,904</w:t>
            </w:r>
          </w:p>
        </w:tc>
      </w:tr>
      <w:tr w:rsidR="00EB4B5A" w:rsidRPr="00EB4B5A" w14:paraId="397E7E2D" w14:textId="77777777" w:rsidTr="00365C12">
        <w:tc>
          <w:tcPr>
            <w:tcW w:w="1945" w:type="dxa"/>
          </w:tcPr>
          <w:p w14:paraId="57D61D16" w14:textId="77777777" w:rsidR="00EB4B5A" w:rsidRPr="00EB4B5A" w:rsidRDefault="00EB4B5A" w:rsidP="00EB4B5A"/>
        </w:tc>
        <w:tc>
          <w:tcPr>
            <w:tcW w:w="2074" w:type="dxa"/>
          </w:tcPr>
          <w:p w14:paraId="4C26ACBC" w14:textId="77777777" w:rsidR="00EB4B5A" w:rsidRPr="00EB4B5A" w:rsidRDefault="00EB4B5A" w:rsidP="00EB4B5A">
            <w:proofErr w:type="spellStart"/>
            <w:r w:rsidRPr="00EB4B5A">
              <w:t>Panama</w:t>
            </w:r>
            <w:proofErr w:type="spellEnd"/>
          </w:p>
        </w:tc>
        <w:tc>
          <w:tcPr>
            <w:tcW w:w="1969" w:type="dxa"/>
          </w:tcPr>
          <w:p w14:paraId="02BD76AD" w14:textId="77777777" w:rsidR="00EB4B5A" w:rsidRPr="00EB4B5A" w:rsidRDefault="00EB4B5A" w:rsidP="00EB4B5A">
            <w:r w:rsidRPr="00EB4B5A">
              <w:t>38,540</w:t>
            </w:r>
          </w:p>
        </w:tc>
      </w:tr>
      <w:tr w:rsidR="00EB4B5A" w:rsidRPr="00EB4B5A" w14:paraId="627C2327" w14:textId="77777777" w:rsidTr="00365C12">
        <w:tc>
          <w:tcPr>
            <w:tcW w:w="1945" w:type="dxa"/>
          </w:tcPr>
          <w:p w14:paraId="44BB4816" w14:textId="77777777" w:rsidR="00EB4B5A" w:rsidRPr="00EB4B5A" w:rsidRDefault="00EB4B5A" w:rsidP="00EB4B5A"/>
        </w:tc>
        <w:tc>
          <w:tcPr>
            <w:tcW w:w="2074" w:type="dxa"/>
          </w:tcPr>
          <w:p w14:paraId="5FC94643" w14:textId="77777777" w:rsidR="00EB4B5A" w:rsidRPr="00EB4B5A" w:rsidRDefault="00EB4B5A" w:rsidP="00EB4B5A">
            <w:r w:rsidRPr="00EB4B5A">
              <w:t>Uruguay</w:t>
            </w:r>
          </w:p>
        </w:tc>
        <w:tc>
          <w:tcPr>
            <w:tcW w:w="1969" w:type="dxa"/>
          </w:tcPr>
          <w:p w14:paraId="4799631D" w14:textId="77777777" w:rsidR="00EB4B5A" w:rsidRPr="00EB4B5A" w:rsidRDefault="00EB4B5A" w:rsidP="00EB4B5A">
            <w:r w:rsidRPr="00EB4B5A">
              <w:t>39,746</w:t>
            </w:r>
          </w:p>
        </w:tc>
      </w:tr>
      <w:tr w:rsidR="00EB4B5A" w:rsidRPr="00EB4B5A" w14:paraId="3231E273" w14:textId="77777777" w:rsidTr="00365C12">
        <w:tc>
          <w:tcPr>
            <w:tcW w:w="1945" w:type="dxa"/>
          </w:tcPr>
          <w:p w14:paraId="4F5D8448" w14:textId="77777777" w:rsidR="00EB4B5A" w:rsidRPr="00EB4B5A" w:rsidRDefault="00EB4B5A" w:rsidP="00EB4B5A">
            <w:r w:rsidRPr="00EB4B5A">
              <w:t xml:space="preserve">Eastern </w:t>
            </w:r>
            <w:proofErr w:type="spellStart"/>
            <w:r w:rsidRPr="00EB4B5A">
              <w:t>Mediterranean</w:t>
            </w:r>
            <w:proofErr w:type="spellEnd"/>
          </w:p>
        </w:tc>
        <w:tc>
          <w:tcPr>
            <w:tcW w:w="2074" w:type="dxa"/>
          </w:tcPr>
          <w:p w14:paraId="51A89453" w14:textId="77777777" w:rsidR="00EB4B5A" w:rsidRPr="00EB4B5A" w:rsidRDefault="00EB4B5A" w:rsidP="00EB4B5A">
            <w:r w:rsidRPr="00EB4B5A">
              <w:t>Albania</w:t>
            </w:r>
          </w:p>
        </w:tc>
        <w:tc>
          <w:tcPr>
            <w:tcW w:w="1969" w:type="dxa"/>
          </w:tcPr>
          <w:p w14:paraId="4B4F09A5" w14:textId="77777777" w:rsidR="00EB4B5A" w:rsidRPr="00EB4B5A" w:rsidRDefault="00EB4B5A" w:rsidP="00EB4B5A">
            <w:r w:rsidRPr="00EB4B5A">
              <w:t>27,963</w:t>
            </w:r>
          </w:p>
        </w:tc>
      </w:tr>
      <w:tr w:rsidR="00EB4B5A" w:rsidRPr="00EB4B5A" w14:paraId="3D4B4894" w14:textId="77777777" w:rsidTr="00365C12">
        <w:tc>
          <w:tcPr>
            <w:tcW w:w="1945" w:type="dxa"/>
          </w:tcPr>
          <w:p w14:paraId="3EC911A5" w14:textId="77777777" w:rsidR="00EB4B5A" w:rsidRPr="00EB4B5A" w:rsidRDefault="00EB4B5A" w:rsidP="00EB4B5A"/>
        </w:tc>
        <w:tc>
          <w:tcPr>
            <w:tcW w:w="2074" w:type="dxa"/>
          </w:tcPr>
          <w:p w14:paraId="42B6C5CD" w14:textId="77777777" w:rsidR="00EB4B5A" w:rsidRPr="00EB4B5A" w:rsidRDefault="00EB4B5A" w:rsidP="00EB4B5A">
            <w:proofErr w:type="spellStart"/>
            <w:r w:rsidRPr="00EB4B5A">
              <w:t>Croatia</w:t>
            </w:r>
            <w:proofErr w:type="spellEnd"/>
          </w:p>
        </w:tc>
        <w:tc>
          <w:tcPr>
            <w:tcW w:w="1969" w:type="dxa"/>
          </w:tcPr>
          <w:p w14:paraId="78CF21A9" w14:textId="77777777" w:rsidR="00EB4B5A" w:rsidRPr="00EB4B5A" w:rsidRDefault="00EB4B5A" w:rsidP="00EB4B5A">
            <w:r w:rsidRPr="00EB4B5A">
              <w:t>35,462</w:t>
            </w:r>
          </w:p>
        </w:tc>
      </w:tr>
      <w:tr w:rsidR="00EB4B5A" w:rsidRPr="00EB4B5A" w14:paraId="6AA4A620" w14:textId="77777777" w:rsidTr="00365C12">
        <w:tc>
          <w:tcPr>
            <w:tcW w:w="1945" w:type="dxa"/>
          </w:tcPr>
          <w:p w14:paraId="0C2C3D18" w14:textId="77777777" w:rsidR="00EB4B5A" w:rsidRPr="00EB4B5A" w:rsidRDefault="00EB4B5A" w:rsidP="00EB4B5A"/>
        </w:tc>
        <w:tc>
          <w:tcPr>
            <w:tcW w:w="2074" w:type="dxa"/>
          </w:tcPr>
          <w:p w14:paraId="183087B4" w14:textId="77777777" w:rsidR="00EB4B5A" w:rsidRPr="00EB4B5A" w:rsidRDefault="00EB4B5A" w:rsidP="00EB4B5A">
            <w:r w:rsidRPr="00EB4B5A">
              <w:t>Malta</w:t>
            </w:r>
          </w:p>
        </w:tc>
        <w:tc>
          <w:tcPr>
            <w:tcW w:w="1969" w:type="dxa"/>
          </w:tcPr>
          <w:p w14:paraId="18D2D0E5" w14:textId="77777777" w:rsidR="00EB4B5A" w:rsidRPr="00EB4B5A" w:rsidRDefault="00EB4B5A" w:rsidP="00EB4B5A">
            <w:r w:rsidRPr="00EB4B5A">
              <w:t>3,925</w:t>
            </w:r>
          </w:p>
        </w:tc>
      </w:tr>
      <w:tr w:rsidR="00EB4B5A" w:rsidRPr="00EB4B5A" w14:paraId="63C68047" w14:textId="77777777" w:rsidTr="00365C12">
        <w:tc>
          <w:tcPr>
            <w:tcW w:w="1945" w:type="dxa"/>
          </w:tcPr>
          <w:p w14:paraId="4985F7A9" w14:textId="77777777" w:rsidR="00EB4B5A" w:rsidRPr="00EB4B5A" w:rsidRDefault="00EB4B5A" w:rsidP="00EB4B5A"/>
        </w:tc>
        <w:tc>
          <w:tcPr>
            <w:tcW w:w="2074" w:type="dxa"/>
          </w:tcPr>
          <w:p w14:paraId="337AE6A9" w14:textId="77777777" w:rsidR="00EB4B5A" w:rsidRPr="00EB4B5A" w:rsidRDefault="00EB4B5A" w:rsidP="00EB4B5A">
            <w:r w:rsidRPr="00EB4B5A">
              <w:t>Serbia</w:t>
            </w:r>
          </w:p>
        </w:tc>
        <w:tc>
          <w:tcPr>
            <w:tcW w:w="1969" w:type="dxa"/>
          </w:tcPr>
          <w:p w14:paraId="0CEFBA30" w14:textId="77777777" w:rsidR="00EB4B5A" w:rsidRPr="00EB4B5A" w:rsidRDefault="00EB4B5A" w:rsidP="00EB4B5A">
            <w:r w:rsidRPr="00EB4B5A">
              <w:t>61,895</w:t>
            </w:r>
          </w:p>
        </w:tc>
      </w:tr>
      <w:tr w:rsidR="00EB4B5A" w:rsidRPr="00EB4B5A" w14:paraId="6DFCB2DC" w14:textId="77777777" w:rsidTr="00365C12">
        <w:tc>
          <w:tcPr>
            <w:tcW w:w="1945" w:type="dxa"/>
          </w:tcPr>
          <w:p w14:paraId="51341083" w14:textId="77777777" w:rsidR="00EB4B5A" w:rsidRPr="00EB4B5A" w:rsidRDefault="00EB4B5A" w:rsidP="00EB4B5A"/>
        </w:tc>
        <w:tc>
          <w:tcPr>
            <w:tcW w:w="2074" w:type="dxa"/>
          </w:tcPr>
          <w:p w14:paraId="556A60EF" w14:textId="77777777" w:rsidR="00EB4B5A" w:rsidRPr="00EB4B5A" w:rsidRDefault="00EB4B5A" w:rsidP="00EB4B5A">
            <w:proofErr w:type="spellStart"/>
            <w:r w:rsidRPr="00EB4B5A">
              <w:t>Turkey</w:t>
            </w:r>
            <w:proofErr w:type="spellEnd"/>
          </w:p>
        </w:tc>
        <w:tc>
          <w:tcPr>
            <w:tcW w:w="1969" w:type="dxa"/>
          </w:tcPr>
          <w:p w14:paraId="6D158784" w14:textId="77777777" w:rsidR="00EB4B5A" w:rsidRPr="00EB4B5A" w:rsidRDefault="00EB4B5A" w:rsidP="00EB4B5A">
            <w:r w:rsidRPr="00EB4B5A">
              <w:t>884,971</w:t>
            </w:r>
          </w:p>
        </w:tc>
      </w:tr>
      <w:tr w:rsidR="00EB4B5A" w:rsidRPr="00EB4B5A" w14:paraId="232D9C36" w14:textId="77777777" w:rsidTr="00365C12">
        <w:tc>
          <w:tcPr>
            <w:tcW w:w="1945" w:type="dxa"/>
          </w:tcPr>
          <w:p w14:paraId="12668EF2" w14:textId="77777777" w:rsidR="00EB4B5A" w:rsidRPr="00EB4B5A" w:rsidRDefault="00EB4B5A" w:rsidP="00EB4B5A">
            <w:proofErr w:type="spellStart"/>
            <w:r w:rsidRPr="00EB4B5A">
              <w:t>Europe</w:t>
            </w:r>
            <w:proofErr w:type="spellEnd"/>
            <w:r w:rsidRPr="00EB4B5A">
              <w:t xml:space="preserve"> A</w:t>
            </w:r>
          </w:p>
        </w:tc>
        <w:tc>
          <w:tcPr>
            <w:tcW w:w="2074" w:type="dxa"/>
          </w:tcPr>
          <w:p w14:paraId="0386987C" w14:textId="77777777" w:rsidR="00EB4B5A" w:rsidRPr="00EB4B5A" w:rsidRDefault="00EB4B5A" w:rsidP="00EB4B5A">
            <w:r w:rsidRPr="00EB4B5A">
              <w:t>Austria</w:t>
            </w:r>
          </w:p>
        </w:tc>
        <w:tc>
          <w:tcPr>
            <w:tcW w:w="1969" w:type="dxa"/>
          </w:tcPr>
          <w:p w14:paraId="5D9473DC" w14:textId="77777777" w:rsidR="00EB4B5A" w:rsidRPr="00EB4B5A" w:rsidRDefault="00EB4B5A" w:rsidP="00EB4B5A">
            <w:r w:rsidRPr="00EB4B5A">
              <w:t>75,077</w:t>
            </w:r>
          </w:p>
        </w:tc>
      </w:tr>
      <w:tr w:rsidR="00EB4B5A" w:rsidRPr="00EB4B5A" w14:paraId="23CB2DDF" w14:textId="77777777" w:rsidTr="00365C12">
        <w:tc>
          <w:tcPr>
            <w:tcW w:w="1945" w:type="dxa"/>
          </w:tcPr>
          <w:p w14:paraId="27CE7C91" w14:textId="77777777" w:rsidR="00EB4B5A" w:rsidRPr="00EB4B5A" w:rsidRDefault="00EB4B5A" w:rsidP="00EB4B5A"/>
        </w:tc>
        <w:tc>
          <w:tcPr>
            <w:tcW w:w="2074" w:type="dxa"/>
          </w:tcPr>
          <w:p w14:paraId="378D7BF3" w14:textId="77777777" w:rsidR="00EB4B5A" w:rsidRPr="00EB4B5A" w:rsidRDefault="00EB4B5A" w:rsidP="00EB4B5A">
            <w:proofErr w:type="spellStart"/>
            <w:r w:rsidRPr="00EB4B5A">
              <w:t>Belgium</w:t>
            </w:r>
            <w:proofErr w:type="spellEnd"/>
          </w:p>
        </w:tc>
        <w:tc>
          <w:tcPr>
            <w:tcW w:w="1969" w:type="dxa"/>
          </w:tcPr>
          <w:p w14:paraId="49D8F8BC" w14:textId="77777777" w:rsidR="00EB4B5A" w:rsidRPr="00EB4B5A" w:rsidRDefault="00EB4B5A" w:rsidP="00EB4B5A">
            <w:r w:rsidRPr="00EB4B5A">
              <w:t>118,025</w:t>
            </w:r>
          </w:p>
        </w:tc>
      </w:tr>
      <w:tr w:rsidR="00EB4B5A" w:rsidRPr="00EB4B5A" w14:paraId="2018A9C3" w14:textId="77777777" w:rsidTr="00365C12">
        <w:tc>
          <w:tcPr>
            <w:tcW w:w="1945" w:type="dxa"/>
          </w:tcPr>
          <w:p w14:paraId="44AB9B3A" w14:textId="77777777" w:rsidR="00EB4B5A" w:rsidRPr="00EB4B5A" w:rsidRDefault="00EB4B5A" w:rsidP="00EB4B5A"/>
        </w:tc>
        <w:tc>
          <w:tcPr>
            <w:tcW w:w="2074" w:type="dxa"/>
          </w:tcPr>
          <w:p w14:paraId="066EEA66" w14:textId="77777777" w:rsidR="00EB4B5A" w:rsidRPr="00EB4B5A" w:rsidRDefault="00EB4B5A" w:rsidP="00EB4B5A">
            <w:proofErr w:type="spellStart"/>
            <w:r w:rsidRPr="00EB4B5A">
              <w:t>Denmark</w:t>
            </w:r>
            <w:proofErr w:type="spellEnd"/>
          </w:p>
        </w:tc>
        <w:tc>
          <w:tcPr>
            <w:tcW w:w="1969" w:type="dxa"/>
          </w:tcPr>
          <w:p w14:paraId="6822F4DD" w14:textId="77777777" w:rsidR="00EB4B5A" w:rsidRPr="00EB4B5A" w:rsidRDefault="00EB4B5A" w:rsidP="00EB4B5A">
            <w:r w:rsidRPr="00EB4B5A">
              <w:t>59,967</w:t>
            </w:r>
          </w:p>
        </w:tc>
      </w:tr>
      <w:tr w:rsidR="00EB4B5A" w:rsidRPr="00EB4B5A" w14:paraId="0598A1DB" w14:textId="77777777" w:rsidTr="00365C12">
        <w:tc>
          <w:tcPr>
            <w:tcW w:w="1945" w:type="dxa"/>
          </w:tcPr>
          <w:p w14:paraId="6D3571C2" w14:textId="77777777" w:rsidR="00EB4B5A" w:rsidRPr="00EB4B5A" w:rsidRDefault="00EB4B5A" w:rsidP="00EB4B5A"/>
        </w:tc>
        <w:tc>
          <w:tcPr>
            <w:tcW w:w="2074" w:type="dxa"/>
          </w:tcPr>
          <w:p w14:paraId="365A0A1A" w14:textId="77777777" w:rsidR="00EB4B5A" w:rsidRPr="00EB4B5A" w:rsidRDefault="00EB4B5A" w:rsidP="00EB4B5A">
            <w:proofErr w:type="spellStart"/>
            <w:r w:rsidRPr="00EB4B5A">
              <w:t>Finland</w:t>
            </w:r>
            <w:proofErr w:type="spellEnd"/>
          </w:p>
        </w:tc>
        <w:tc>
          <w:tcPr>
            <w:tcW w:w="1969" w:type="dxa"/>
          </w:tcPr>
          <w:p w14:paraId="37424D34" w14:textId="77777777" w:rsidR="00EB4B5A" w:rsidRPr="00EB4B5A" w:rsidRDefault="00EB4B5A" w:rsidP="00EB4B5A">
            <w:r w:rsidRPr="00EB4B5A">
              <w:t>56172</w:t>
            </w:r>
          </w:p>
        </w:tc>
      </w:tr>
      <w:tr w:rsidR="00EB4B5A" w:rsidRPr="00EB4B5A" w14:paraId="22D196BD" w14:textId="77777777" w:rsidTr="00365C12">
        <w:tc>
          <w:tcPr>
            <w:tcW w:w="1945" w:type="dxa"/>
          </w:tcPr>
          <w:p w14:paraId="4B85F97E" w14:textId="77777777" w:rsidR="00EB4B5A" w:rsidRPr="00EB4B5A" w:rsidRDefault="00EB4B5A" w:rsidP="00EB4B5A"/>
        </w:tc>
        <w:tc>
          <w:tcPr>
            <w:tcW w:w="2074" w:type="dxa"/>
          </w:tcPr>
          <w:p w14:paraId="6DC133AF" w14:textId="77777777" w:rsidR="00EB4B5A" w:rsidRPr="00EB4B5A" w:rsidRDefault="00EB4B5A" w:rsidP="00EB4B5A">
            <w:r w:rsidRPr="00EB4B5A">
              <w:t>France</w:t>
            </w:r>
          </w:p>
        </w:tc>
        <w:tc>
          <w:tcPr>
            <w:tcW w:w="1969" w:type="dxa"/>
          </w:tcPr>
          <w:p w14:paraId="27E8A368" w14:textId="77777777" w:rsidR="00EB4B5A" w:rsidRPr="00EB4B5A" w:rsidRDefault="00EB4B5A" w:rsidP="00EB4B5A">
            <w:r w:rsidRPr="00EB4B5A">
              <w:t>756,477</w:t>
            </w:r>
          </w:p>
        </w:tc>
      </w:tr>
      <w:tr w:rsidR="00EB4B5A" w:rsidRPr="00EB4B5A" w14:paraId="75B4F547" w14:textId="77777777" w:rsidTr="00365C12">
        <w:tc>
          <w:tcPr>
            <w:tcW w:w="1945" w:type="dxa"/>
          </w:tcPr>
          <w:p w14:paraId="5D908ED9" w14:textId="77777777" w:rsidR="00EB4B5A" w:rsidRPr="00EB4B5A" w:rsidRDefault="00EB4B5A" w:rsidP="00EB4B5A"/>
        </w:tc>
        <w:tc>
          <w:tcPr>
            <w:tcW w:w="2074" w:type="dxa"/>
          </w:tcPr>
          <w:p w14:paraId="0DC511E5" w14:textId="77777777" w:rsidR="00EB4B5A" w:rsidRPr="00EB4B5A" w:rsidRDefault="00EB4B5A" w:rsidP="00EB4B5A">
            <w:proofErr w:type="spellStart"/>
            <w:r w:rsidRPr="00EB4B5A">
              <w:t>Greece</w:t>
            </w:r>
            <w:proofErr w:type="spellEnd"/>
          </w:p>
        </w:tc>
        <w:tc>
          <w:tcPr>
            <w:tcW w:w="1969" w:type="dxa"/>
          </w:tcPr>
          <w:p w14:paraId="5C4C49B8" w14:textId="77777777" w:rsidR="00EB4B5A" w:rsidRPr="00EB4B5A" w:rsidRDefault="00EB4B5A" w:rsidP="00EB4B5A">
            <w:r w:rsidRPr="00EB4B5A">
              <w:t>95,370</w:t>
            </w:r>
          </w:p>
        </w:tc>
      </w:tr>
      <w:tr w:rsidR="00EB4B5A" w:rsidRPr="00EB4B5A" w14:paraId="16603D11" w14:textId="77777777" w:rsidTr="00365C12">
        <w:tc>
          <w:tcPr>
            <w:tcW w:w="1945" w:type="dxa"/>
          </w:tcPr>
          <w:p w14:paraId="3A32920A" w14:textId="77777777" w:rsidR="00EB4B5A" w:rsidRPr="00EB4B5A" w:rsidRDefault="00EB4B5A" w:rsidP="00EB4B5A"/>
        </w:tc>
        <w:tc>
          <w:tcPr>
            <w:tcW w:w="2074" w:type="dxa"/>
          </w:tcPr>
          <w:p w14:paraId="41195D2E" w14:textId="77777777" w:rsidR="00EB4B5A" w:rsidRPr="00EB4B5A" w:rsidRDefault="00EB4B5A" w:rsidP="00EB4B5A">
            <w:proofErr w:type="spellStart"/>
            <w:r w:rsidRPr="00EB4B5A">
              <w:t>Iceland</w:t>
            </w:r>
            <w:proofErr w:type="spellEnd"/>
          </w:p>
        </w:tc>
        <w:tc>
          <w:tcPr>
            <w:tcW w:w="1969" w:type="dxa"/>
          </w:tcPr>
          <w:p w14:paraId="0518757F" w14:textId="77777777" w:rsidR="00EB4B5A" w:rsidRPr="00EB4B5A" w:rsidRDefault="00EB4B5A" w:rsidP="00EB4B5A">
            <w:r w:rsidRPr="00EB4B5A">
              <w:t>3,878</w:t>
            </w:r>
          </w:p>
        </w:tc>
      </w:tr>
      <w:tr w:rsidR="00EB4B5A" w:rsidRPr="00EB4B5A" w14:paraId="5F2E0216" w14:textId="77777777" w:rsidTr="00365C12">
        <w:tc>
          <w:tcPr>
            <w:tcW w:w="1945" w:type="dxa"/>
          </w:tcPr>
          <w:p w14:paraId="051363EF" w14:textId="77777777" w:rsidR="00EB4B5A" w:rsidRPr="00EB4B5A" w:rsidRDefault="00EB4B5A" w:rsidP="00EB4B5A"/>
        </w:tc>
        <w:tc>
          <w:tcPr>
            <w:tcW w:w="2074" w:type="dxa"/>
          </w:tcPr>
          <w:p w14:paraId="53ED887D" w14:textId="77777777" w:rsidR="00EB4B5A" w:rsidRPr="00EB4B5A" w:rsidRDefault="00EB4B5A" w:rsidP="00EB4B5A">
            <w:proofErr w:type="spellStart"/>
            <w:r w:rsidRPr="00EB4B5A">
              <w:t>Ireland</w:t>
            </w:r>
            <w:proofErr w:type="spellEnd"/>
          </w:p>
        </w:tc>
        <w:tc>
          <w:tcPr>
            <w:tcW w:w="1969" w:type="dxa"/>
          </w:tcPr>
          <w:p w14:paraId="5A99F3E2" w14:textId="77777777" w:rsidR="00EB4B5A" w:rsidRPr="00EB4B5A" w:rsidRDefault="00EB4B5A" w:rsidP="00EB4B5A">
            <w:r w:rsidRPr="00EB4B5A">
              <w:t>59,639</w:t>
            </w:r>
          </w:p>
        </w:tc>
      </w:tr>
      <w:tr w:rsidR="00EB4B5A" w:rsidRPr="00EB4B5A" w14:paraId="5B77D4F1" w14:textId="77777777" w:rsidTr="00365C12">
        <w:tc>
          <w:tcPr>
            <w:tcW w:w="1945" w:type="dxa"/>
          </w:tcPr>
          <w:p w14:paraId="0312EFCC" w14:textId="77777777" w:rsidR="00EB4B5A" w:rsidRPr="00EB4B5A" w:rsidRDefault="00EB4B5A" w:rsidP="00EB4B5A"/>
        </w:tc>
        <w:tc>
          <w:tcPr>
            <w:tcW w:w="2074" w:type="dxa"/>
          </w:tcPr>
          <w:p w14:paraId="08860482" w14:textId="77777777" w:rsidR="00EB4B5A" w:rsidRPr="00EB4B5A" w:rsidRDefault="00EB4B5A" w:rsidP="00EB4B5A">
            <w:proofErr w:type="spellStart"/>
            <w:r w:rsidRPr="00EB4B5A">
              <w:t>Italy</w:t>
            </w:r>
            <w:proofErr w:type="spellEnd"/>
          </w:p>
        </w:tc>
        <w:tc>
          <w:tcPr>
            <w:tcW w:w="1969" w:type="dxa"/>
          </w:tcPr>
          <w:p w14:paraId="1867A6D4" w14:textId="77777777" w:rsidR="00EB4B5A" w:rsidRPr="00EB4B5A" w:rsidRDefault="00EB4B5A" w:rsidP="00EB4B5A">
            <w:r w:rsidRPr="00EB4B5A">
              <w:t>521,223</w:t>
            </w:r>
          </w:p>
        </w:tc>
      </w:tr>
      <w:tr w:rsidR="00EB4B5A" w:rsidRPr="00EB4B5A" w14:paraId="146EA5F1" w14:textId="77777777" w:rsidTr="00365C12">
        <w:tc>
          <w:tcPr>
            <w:tcW w:w="1945" w:type="dxa"/>
          </w:tcPr>
          <w:p w14:paraId="1F310C83" w14:textId="77777777" w:rsidR="00EB4B5A" w:rsidRPr="00EB4B5A" w:rsidRDefault="00EB4B5A" w:rsidP="00EB4B5A"/>
        </w:tc>
        <w:tc>
          <w:tcPr>
            <w:tcW w:w="2074" w:type="dxa"/>
          </w:tcPr>
          <w:p w14:paraId="37B9CF6A" w14:textId="77777777" w:rsidR="00EB4B5A" w:rsidRPr="00EB4B5A" w:rsidRDefault="00EB4B5A" w:rsidP="00EB4B5A">
            <w:proofErr w:type="spellStart"/>
            <w:r w:rsidRPr="00EB4B5A">
              <w:t>Luxembourg</w:t>
            </w:r>
            <w:proofErr w:type="spellEnd"/>
          </w:p>
        </w:tc>
        <w:tc>
          <w:tcPr>
            <w:tcW w:w="1969" w:type="dxa"/>
          </w:tcPr>
          <w:p w14:paraId="6E56D678" w14:textId="77777777" w:rsidR="00EB4B5A" w:rsidRPr="00EB4B5A" w:rsidRDefault="00EB4B5A" w:rsidP="00EB4B5A">
            <w:r w:rsidRPr="00EB4B5A">
              <w:t>5,478</w:t>
            </w:r>
          </w:p>
        </w:tc>
      </w:tr>
      <w:tr w:rsidR="00EB4B5A" w:rsidRPr="00EB4B5A" w14:paraId="451A819C" w14:textId="77777777" w:rsidTr="00365C12">
        <w:tc>
          <w:tcPr>
            <w:tcW w:w="1945" w:type="dxa"/>
          </w:tcPr>
          <w:p w14:paraId="73E0DB33" w14:textId="77777777" w:rsidR="00EB4B5A" w:rsidRPr="00EB4B5A" w:rsidRDefault="00EB4B5A" w:rsidP="00EB4B5A"/>
        </w:tc>
        <w:tc>
          <w:tcPr>
            <w:tcW w:w="2074" w:type="dxa"/>
          </w:tcPr>
          <w:p w14:paraId="14462CC4" w14:textId="77777777" w:rsidR="00EB4B5A" w:rsidRPr="00EB4B5A" w:rsidRDefault="00EB4B5A" w:rsidP="00EB4B5A">
            <w:proofErr w:type="spellStart"/>
            <w:r w:rsidRPr="00EB4B5A">
              <w:t>Spain</w:t>
            </w:r>
            <w:proofErr w:type="spellEnd"/>
          </w:p>
        </w:tc>
        <w:tc>
          <w:tcPr>
            <w:tcW w:w="1969" w:type="dxa"/>
          </w:tcPr>
          <w:p w14:paraId="63300AC8" w14:textId="77777777" w:rsidR="00EB4B5A" w:rsidRPr="00EB4B5A" w:rsidRDefault="00EB4B5A" w:rsidP="00EB4B5A">
            <w:r w:rsidRPr="00EB4B5A">
              <w:t>416,703</w:t>
            </w:r>
          </w:p>
        </w:tc>
      </w:tr>
      <w:tr w:rsidR="00EB4B5A" w:rsidRPr="00EB4B5A" w14:paraId="6F1FBCF4" w14:textId="77777777" w:rsidTr="00365C12">
        <w:tc>
          <w:tcPr>
            <w:tcW w:w="1945" w:type="dxa"/>
          </w:tcPr>
          <w:p w14:paraId="24EB072E" w14:textId="77777777" w:rsidR="00EB4B5A" w:rsidRPr="00EB4B5A" w:rsidRDefault="00EB4B5A" w:rsidP="00EB4B5A"/>
        </w:tc>
        <w:tc>
          <w:tcPr>
            <w:tcW w:w="2074" w:type="dxa"/>
          </w:tcPr>
          <w:p w14:paraId="677F2A74" w14:textId="77777777" w:rsidR="00EB4B5A" w:rsidRPr="00EB4B5A" w:rsidRDefault="00EB4B5A" w:rsidP="00EB4B5A">
            <w:proofErr w:type="spellStart"/>
            <w:r w:rsidRPr="00EB4B5A">
              <w:t>Sweden</w:t>
            </w:r>
            <w:proofErr w:type="spellEnd"/>
            <w:r w:rsidRPr="00EB4B5A">
              <w:t xml:space="preserve"> </w:t>
            </w:r>
          </w:p>
        </w:tc>
        <w:tc>
          <w:tcPr>
            <w:tcW w:w="1969" w:type="dxa"/>
          </w:tcPr>
          <w:p w14:paraId="148C8D91" w14:textId="77777777" w:rsidR="00EB4B5A" w:rsidRPr="00EB4B5A" w:rsidRDefault="00EB4B5A" w:rsidP="00EB4B5A">
            <w:r w:rsidRPr="00EB4B5A">
              <w:t>93,129</w:t>
            </w:r>
          </w:p>
        </w:tc>
      </w:tr>
      <w:tr w:rsidR="00EB4B5A" w:rsidRPr="00EB4B5A" w14:paraId="2CE7B0CF" w14:textId="77777777" w:rsidTr="00365C12">
        <w:tc>
          <w:tcPr>
            <w:tcW w:w="1945" w:type="dxa"/>
          </w:tcPr>
          <w:p w14:paraId="2FA0CF35" w14:textId="77777777" w:rsidR="00EB4B5A" w:rsidRPr="00EB4B5A" w:rsidRDefault="00EB4B5A" w:rsidP="00EB4B5A"/>
        </w:tc>
        <w:tc>
          <w:tcPr>
            <w:tcW w:w="2074" w:type="dxa"/>
          </w:tcPr>
          <w:p w14:paraId="4739F3C1" w14:textId="77777777" w:rsidR="00EB4B5A" w:rsidRPr="00EB4B5A" w:rsidRDefault="00EB4B5A" w:rsidP="00EB4B5A">
            <w:proofErr w:type="spellStart"/>
            <w:r w:rsidRPr="00EB4B5A">
              <w:t>Switzerland</w:t>
            </w:r>
            <w:proofErr w:type="spellEnd"/>
          </w:p>
        </w:tc>
        <w:tc>
          <w:tcPr>
            <w:tcW w:w="1969" w:type="dxa"/>
          </w:tcPr>
          <w:p w14:paraId="1549023E" w14:textId="77777777" w:rsidR="00EB4B5A" w:rsidRPr="00EB4B5A" w:rsidRDefault="00EB4B5A" w:rsidP="00EB4B5A">
            <w:r w:rsidRPr="00EB4B5A">
              <w:t>71,683</w:t>
            </w:r>
          </w:p>
        </w:tc>
      </w:tr>
      <w:tr w:rsidR="00EB4B5A" w:rsidRPr="00EB4B5A" w14:paraId="0838C347" w14:textId="77777777" w:rsidTr="00365C12">
        <w:tc>
          <w:tcPr>
            <w:tcW w:w="1945" w:type="dxa"/>
          </w:tcPr>
          <w:p w14:paraId="4F76B616" w14:textId="77777777" w:rsidR="00EB4B5A" w:rsidRPr="00EB4B5A" w:rsidRDefault="00EB4B5A" w:rsidP="00EB4B5A"/>
        </w:tc>
        <w:tc>
          <w:tcPr>
            <w:tcW w:w="2074" w:type="dxa"/>
          </w:tcPr>
          <w:p w14:paraId="18344F5F" w14:textId="77777777" w:rsidR="00EB4B5A" w:rsidRPr="00EB4B5A" w:rsidRDefault="00EB4B5A" w:rsidP="00EB4B5A">
            <w:proofErr w:type="spellStart"/>
            <w:r w:rsidRPr="00EB4B5A">
              <w:t>United</w:t>
            </w:r>
            <w:proofErr w:type="spellEnd"/>
            <w:r w:rsidRPr="00EB4B5A">
              <w:t xml:space="preserve"> </w:t>
            </w:r>
            <w:proofErr w:type="spellStart"/>
            <w:r w:rsidRPr="00EB4B5A">
              <w:t>Kingdom</w:t>
            </w:r>
            <w:proofErr w:type="spellEnd"/>
          </w:p>
        </w:tc>
        <w:tc>
          <w:tcPr>
            <w:tcW w:w="1969" w:type="dxa"/>
          </w:tcPr>
          <w:p w14:paraId="29D5C023" w14:textId="77777777" w:rsidR="00EB4B5A" w:rsidRPr="00EB4B5A" w:rsidRDefault="00EB4B5A" w:rsidP="00EB4B5A">
            <w:r w:rsidRPr="00EB4B5A">
              <w:t>3,559,045</w:t>
            </w:r>
          </w:p>
        </w:tc>
      </w:tr>
      <w:tr w:rsidR="00EB4B5A" w:rsidRPr="00EB4B5A" w14:paraId="042F4FD6" w14:textId="77777777" w:rsidTr="00365C12">
        <w:tc>
          <w:tcPr>
            <w:tcW w:w="1945" w:type="dxa"/>
          </w:tcPr>
          <w:p w14:paraId="04A835FE" w14:textId="77777777" w:rsidR="00EB4B5A" w:rsidRPr="00EB4B5A" w:rsidRDefault="00EB4B5A" w:rsidP="00EB4B5A">
            <w:proofErr w:type="spellStart"/>
            <w:r w:rsidRPr="00EB4B5A">
              <w:t>Europe</w:t>
            </w:r>
            <w:proofErr w:type="spellEnd"/>
            <w:r w:rsidRPr="00EB4B5A">
              <w:t xml:space="preserve"> B/C</w:t>
            </w:r>
          </w:p>
        </w:tc>
        <w:tc>
          <w:tcPr>
            <w:tcW w:w="2074" w:type="dxa"/>
          </w:tcPr>
          <w:p w14:paraId="442BF16B" w14:textId="77777777" w:rsidR="00EB4B5A" w:rsidRPr="00EB4B5A" w:rsidRDefault="00EB4B5A" w:rsidP="00EB4B5A">
            <w:r w:rsidRPr="00EB4B5A">
              <w:t>Bulgaria</w:t>
            </w:r>
          </w:p>
        </w:tc>
        <w:tc>
          <w:tcPr>
            <w:tcW w:w="1969" w:type="dxa"/>
          </w:tcPr>
          <w:p w14:paraId="64D96CC9" w14:textId="77777777" w:rsidR="00EB4B5A" w:rsidRPr="00EB4B5A" w:rsidRDefault="00EB4B5A" w:rsidP="00EB4B5A">
            <w:r w:rsidRPr="00EB4B5A">
              <w:t>47,851</w:t>
            </w:r>
          </w:p>
        </w:tc>
      </w:tr>
      <w:tr w:rsidR="00EB4B5A" w:rsidRPr="00EB4B5A" w14:paraId="04D1D726" w14:textId="77777777" w:rsidTr="00365C12">
        <w:tc>
          <w:tcPr>
            <w:tcW w:w="1945" w:type="dxa"/>
          </w:tcPr>
          <w:p w14:paraId="26167F0A" w14:textId="77777777" w:rsidR="00EB4B5A" w:rsidRPr="00EB4B5A" w:rsidRDefault="00EB4B5A" w:rsidP="00EB4B5A"/>
        </w:tc>
        <w:tc>
          <w:tcPr>
            <w:tcW w:w="2074" w:type="dxa"/>
          </w:tcPr>
          <w:p w14:paraId="4814623F" w14:textId="77777777" w:rsidR="00EB4B5A" w:rsidRPr="00EB4B5A" w:rsidRDefault="00EB4B5A" w:rsidP="00EB4B5A">
            <w:proofErr w:type="spellStart"/>
            <w:r w:rsidRPr="00EB4B5A">
              <w:t>Czech</w:t>
            </w:r>
            <w:proofErr w:type="spellEnd"/>
            <w:r w:rsidRPr="00EB4B5A">
              <w:t xml:space="preserve"> </w:t>
            </w:r>
            <w:proofErr w:type="spellStart"/>
            <w:r w:rsidRPr="00EB4B5A">
              <w:t>Republic</w:t>
            </w:r>
            <w:proofErr w:type="spellEnd"/>
          </w:p>
        </w:tc>
        <w:tc>
          <w:tcPr>
            <w:tcW w:w="1969" w:type="dxa"/>
          </w:tcPr>
          <w:p w14:paraId="5109ECE4" w14:textId="77777777" w:rsidR="00EB4B5A" w:rsidRPr="00EB4B5A" w:rsidRDefault="00EB4B5A" w:rsidP="00EB4B5A">
            <w:r w:rsidRPr="00EB4B5A">
              <w:t>87,808</w:t>
            </w:r>
          </w:p>
        </w:tc>
      </w:tr>
      <w:tr w:rsidR="00EB4B5A" w:rsidRPr="00EB4B5A" w14:paraId="2B73D578" w14:textId="77777777" w:rsidTr="00365C12">
        <w:tc>
          <w:tcPr>
            <w:tcW w:w="1945" w:type="dxa"/>
          </w:tcPr>
          <w:p w14:paraId="01378B00" w14:textId="77777777" w:rsidR="00EB4B5A" w:rsidRPr="00EB4B5A" w:rsidRDefault="00EB4B5A" w:rsidP="00EB4B5A"/>
        </w:tc>
        <w:tc>
          <w:tcPr>
            <w:tcW w:w="2074" w:type="dxa"/>
          </w:tcPr>
          <w:p w14:paraId="4ADC2956" w14:textId="77777777" w:rsidR="00EB4B5A" w:rsidRPr="00EB4B5A" w:rsidRDefault="00EB4B5A" w:rsidP="00EB4B5A">
            <w:r w:rsidRPr="00EB4B5A">
              <w:t>Estonia</w:t>
            </w:r>
          </w:p>
        </w:tc>
        <w:tc>
          <w:tcPr>
            <w:tcW w:w="1969" w:type="dxa"/>
          </w:tcPr>
          <w:p w14:paraId="7B2A93C5" w14:textId="77777777" w:rsidR="00EB4B5A" w:rsidRPr="00EB4B5A" w:rsidRDefault="00EB4B5A" w:rsidP="00EB4B5A">
            <w:r w:rsidRPr="00EB4B5A">
              <w:t>11,415</w:t>
            </w:r>
          </w:p>
        </w:tc>
      </w:tr>
      <w:tr w:rsidR="00EB4B5A" w:rsidRPr="00EB4B5A" w14:paraId="23F63AC6" w14:textId="77777777" w:rsidTr="00365C12">
        <w:tc>
          <w:tcPr>
            <w:tcW w:w="1945" w:type="dxa"/>
          </w:tcPr>
          <w:p w14:paraId="15D11B76" w14:textId="77777777" w:rsidR="00EB4B5A" w:rsidRPr="00EB4B5A" w:rsidRDefault="00EB4B5A" w:rsidP="00EB4B5A"/>
        </w:tc>
        <w:tc>
          <w:tcPr>
            <w:tcW w:w="2074" w:type="dxa"/>
          </w:tcPr>
          <w:p w14:paraId="1217408E" w14:textId="77777777" w:rsidR="00EB4B5A" w:rsidRPr="00EB4B5A" w:rsidRDefault="00EB4B5A" w:rsidP="00EB4B5A">
            <w:r w:rsidRPr="00EB4B5A">
              <w:t>Georgia</w:t>
            </w:r>
          </w:p>
        </w:tc>
        <w:tc>
          <w:tcPr>
            <w:tcW w:w="1969" w:type="dxa"/>
          </w:tcPr>
          <w:p w14:paraId="21145464" w14:textId="77777777" w:rsidR="00EB4B5A" w:rsidRPr="00EB4B5A" w:rsidRDefault="00EB4B5A" w:rsidP="00EB4B5A">
            <w:r w:rsidRPr="00EB4B5A">
              <w:t>38,489</w:t>
            </w:r>
          </w:p>
        </w:tc>
      </w:tr>
      <w:tr w:rsidR="00EB4B5A" w:rsidRPr="00EB4B5A" w14:paraId="245AB932" w14:textId="77777777" w:rsidTr="00365C12">
        <w:tc>
          <w:tcPr>
            <w:tcW w:w="1945" w:type="dxa"/>
          </w:tcPr>
          <w:p w14:paraId="38398B7B" w14:textId="77777777" w:rsidR="00EB4B5A" w:rsidRPr="00EB4B5A" w:rsidRDefault="00EB4B5A" w:rsidP="00EB4B5A"/>
        </w:tc>
        <w:tc>
          <w:tcPr>
            <w:tcW w:w="2074" w:type="dxa"/>
          </w:tcPr>
          <w:p w14:paraId="12A8C773" w14:textId="77777777" w:rsidR="00EB4B5A" w:rsidRPr="00EB4B5A" w:rsidRDefault="00EB4B5A" w:rsidP="00EB4B5A">
            <w:proofErr w:type="spellStart"/>
            <w:r w:rsidRPr="00EB4B5A">
              <w:t>Hungary</w:t>
            </w:r>
            <w:proofErr w:type="spellEnd"/>
          </w:p>
        </w:tc>
        <w:tc>
          <w:tcPr>
            <w:tcW w:w="1969" w:type="dxa"/>
          </w:tcPr>
          <w:p w14:paraId="6FF8517A" w14:textId="77777777" w:rsidR="00EB4B5A" w:rsidRPr="00EB4B5A" w:rsidRDefault="00EB4B5A" w:rsidP="00EB4B5A">
            <w:r w:rsidRPr="00EB4B5A">
              <w:t>86,754</w:t>
            </w:r>
          </w:p>
        </w:tc>
      </w:tr>
      <w:tr w:rsidR="00EB4B5A" w:rsidRPr="00EB4B5A" w14:paraId="15F4A42E" w14:textId="77777777" w:rsidTr="00365C12">
        <w:tc>
          <w:tcPr>
            <w:tcW w:w="1945" w:type="dxa"/>
          </w:tcPr>
          <w:p w14:paraId="477F8104" w14:textId="77777777" w:rsidR="00EB4B5A" w:rsidRPr="00EB4B5A" w:rsidRDefault="00EB4B5A" w:rsidP="00EB4B5A"/>
        </w:tc>
        <w:tc>
          <w:tcPr>
            <w:tcW w:w="2074" w:type="dxa"/>
          </w:tcPr>
          <w:p w14:paraId="018545BB" w14:textId="77777777" w:rsidR="00EB4B5A" w:rsidRPr="00EB4B5A" w:rsidRDefault="00EB4B5A" w:rsidP="00EB4B5A">
            <w:proofErr w:type="spellStart"/>
            <w:r w:rsidRPr="00EB4B5A">
              <w:t>Kazakhstan</w:t>
            </w:r>
            <w:proofErr w:type="spellEnd"/>
          </w:p>
        </w:tc>
        <w:tc>
          <w:tcPr>
            <w:tcW w:w="1969" w:type="dxa"/>
          </w:tcPr>
          <w:p w14:paraId="70D0D126" w14:textId="77777777" w:rsidR="00EB4B5A" w:rsidRPr="00EB4B5A" w:rsidRDefault="00EB4B5A" w:rsidP="00EB4B5A">
            <w:r w:rsidRPr="00EB4B5A">
              <w:t>212,229</w:t>
            </w:r>
          </w:p>
        </w:tc>
      </w:tr>
      <w:tr w:rsidR="00EB4B5A" w:rsidRPr="00EB4B5A" w14:paraId="4F863904" w14:textId="77777777" w:rsidTr="00365C12">
        <w:tc>
          <w:tcPr>
            <w:tcW w:w="1945" w:type="dxa"/>
          </w:tcPr>
          <w:p w14:paraId="654B4403" w14:textId="77777777" w:rsidR="00EB4B5A" w:rsidRPr="00EB4B5A" w:rsidRDefault="00EB4B5A" w:rsidP="00EB4B5A"/>
        </w:tc>
        <w:tc>
          <w:tcPr>
            <w:tcW w:w="2074" w:type="dxa"/>
          </w:tcPr>
          <w:p w14:paraId="137D15FD" w14:textId="77777777" w:rsidR="00EB4B5A" w:rsidRPr="00EB4B5A" w:rsidRDefault="00EB4B5A" w:rsidP="00EB4B5A">
            <w:proofErr w:type="spellStart"/>
            <w:r w:rsidRPr="00EB4B5A">
              <w:t>Latvia</w:t>
            </w:r>
            <w:proofErr w:type="spellEnd"/>
          </w:p>
        </w:tc>
        <w:tc>
          <w:tcPr>
            <w:tcW w:w="1969" w:type="dxa"/>
          </w:tcPr>
          <w:p w14:paraId="40C137CB" w14:textId="77777777" w:rsidR="00EB4B5A" w:rsidRPr="00EB4B5A" w:rsidRDefault="00EB4B5A" w:rsidP="00EB4B5A">
            <w:r w:rsidRPr="00EB4B5A">
              <w:t>15,932</w:t>
            </w:r>
          </w:p>
        </w:tc>
      </w:tr>
      <w:tr w:rsidR="00EB4B5A" w:rsidRPr="00EB4B5A" w14:paraId="61366AE4" w14:textId="77777777" w:rsidTr="00365C12">
        <w:tc>
          <w:tcPr>
            <w:tcW w:w="1945" w:type="dxa"/>
          </w:tcPr>
          <w:p w14:paraId="6B463939" w14:textId="77777777" w:rsidR="00EB4B5A" w:rsidRPr="00EB4B5A" w:rsidRDefault="00EB4B5A" w:rsidP="00EB4B5A"/>
        </w:tc>
        <w:tc>
          <w:tcPr>
            <w:tcW w:w="2074" w:type="dxa"/>
          </w:tcPr>
          <w:p w14:paraId="000E39B2" w14:textId="77777777" w:rsidR="00EB4B5A" w:rsidRPr="00EB4B5A" w:rsidRDefault="00EB4B5A" w:rsidP="00EB4B5A">
            <w:proofErr w:type="spellStart"/>
            <w:r w:rsidRPr="00EB4B5A">
              <w:t>Lithuania</w:t>
            </w:r>
            <w:proofErr w:type="spellEnd"/>
          </w:p>
        </w:tc>
        <w:tc>
          <w:tcPr>
            <w:tcW w:w="1969" w:type="dxa"/>
          </w:tcPr>
          <w:p w14:paraId="3CC80A0D" w14:textId="77777777" w:rsidR="00EB4B5A" w:rsidRPr="00EB4B5A" w:rsidRDefault="00EB4B5A" w:rsidP="00EB4B5A">
            <w:r w:rsidRPr="00EB4B5A">
              <w:t>24,453</w:t>
            </w:r>
          </w:p>
        </w:tc>
      </w:tr>
      <w:tr w:rsidR="00EB4B5A" w:rsidRPr="00EB4B5A" w14:paraId="11BE0DD4" w14:textId="77777777" w:rsidTr="00365C12">
        <w:tc>
          <w:tcPr>
            <w:tcW w:w="1945" w:type="dxa"/>
          </w:tcPr>
          <w:p w14:paraId="7FAF8FF4" w14:textId="77777777" w:rsidR="00EB4B5A" w:rsidRPr="00EB4B5A" w:rsidRDefault="00EB4B5A" w:rsidP="00EB4B5A"/>
        </w:tc>
        <w:tc>
          <w:tcPr>
            <w:tcW w:w="2074" w:type="dxa"/>
          </w:tcPr>
          <w:p w14:paraId="0D328FC3" w14:textId="77777777" w:rsidR="00EB4B5A" w:rsidRPr="00EB4B5A" w:rsidRDefault="00EB4B5A" w:rsidP="00EB4B5A">
            <w:proofErr w:type="spellStart"/>
            <w:r w:rsidRPr="00EB4B5A">
              <w:t>Poland</w:t>
            </w:r>
            <w:proofErr w:type="spellEnd"/>
          </w:p>
        </w:tc>
        <w:tc>
          <w:tcPr>
            <w:tcW w:w="1969" w:type="dxa"/>
          </w:tcPr>
          <w:p w14:paraId="67C1D2BA" w14:textId="77777777" w:rsidR="00EB4B5A" w:rsidRPr="00EB4B5A" w:rsidRDefault="00EB4B5A" w:rsidP="00EB4B5A">
            <w:r w:rsidRPr="00EB4B5A">
              <w:t>318,724</w:t>
            </w:r>
          </w:p>
        </w:tc>
      </w:tr>
      <w:tr w:rsidR="00EB4B5A" w:rsidRPr="00EB4B5A" w14:paraId="22C946B7" w14:textId="77777777" w:rsidTr="00365C12">
        <w:tc>
          <w:tcPr>
            <w:tcW w:w="1945" w:type="dxa"/>
          </w:tcPr>
          <w:p w14:paraId="432532D7" w14:textId="77777777" w:rsidR="00EB4B5A" w:rsidRPr="00EB4B5A" w:rsidRDefault="00EB4B5A" w:rsidP="00EB4B5A"/>
        </w:tc>
        <w:tc>
          <w:tcPr>
            <w:tcW w:w="2074" w:type="dxa"/>
          </w:tcPr>
          <w:p w14:paraId="051C3E1F" w14:textId="77777777" w:rsidR="00EB4B5A" w:rsidRPr="00EB4B5A" w:rsidRDefault="00EB4B5A" w:rsidP="00EB4B5A">
            <w:proofErr w:type="spellStart"/>
            <w:r w:rsidRPr="00EB4B5A">
              <w:t>Russian</w:t>
            </w:r>
            <w:proofErr w:type="spellEnd"/>
            <w:r w:rsidRPr="00EB4B5A">
              <w:t xml:space="preserve"> </w:t>
            </w:r>
            <w:proofErr w:type="spellStart"/>
            <w:r w:rsidRPr="00EB4B5A">
              <w:t>Federation</w:t>
            </w:r>
            <w:proofErr w:type="spellEnd"/>
          </w:p>
        </w:tc>
        <w:tc>
          <w:tcPr>
            <w:tcW w:w="1969" w:type="dxa"/>
          </w:tcPr>
          <w:p w14:paraId="2787E0D6" w14:textId="77777777" w:rsidR="00EB4B5A" w:rsidRPr="00EB4B5A" w:rsidRDefault="00EB4B5A" w:rsidP="00EB4B5A">
            <w:r w:rsidRPr="00EB4B5A">
              <w:t>1,257,388</w:t>
            </w:r>
          </w:p>
        </w:tc>
      </w:tr>
      <w:tr w:rsidR="00EB4B5A" w:rsidRPr="00EB4B5A" w14:paraId="0A5D475C" w14:textId="77777777" w:rsidTr="00365C12">
        <w:tc>
          <w:tcPr>
            <w:tcW w:w="1945" w:type="dxa"/>
          </w:tcPr>
          <w:p w14:paraId="1EAA8D36" w14:textId="77777777" w:rsidR="00EB4B5A" w:rsidRPr="00EB4B5A" w:rsidRDefault="00EB4B5A" w:rsidP="00EB4B5A"/>
        </w:tc>
        <w:tc>
          <w:tcPr>
            <w:tcW w:w="2074" w:type="dxa"/>
          </w:tcPr>
          <w:p w14:paraId="0FF802F9" w14:textId="77777777" w:rsidR="00EB4B5A" w:rsidRPr="00EB4B5A" w:rsidRDefault="00EB4B5A" w:rsidP="00EB4B5A">
            <w:proofErr w:type="spellStart"/>
            <w:r w:rsidRPr="00EB4B5A">
              <w:t>Slovak</w:t>
            </w:r>
            <w:proofErr w:type="spellEnd"/>
            <w:r w:rsidRPr="00EB4B5A">
              <w:t xml:space="preserve"> </w:t>
            </w:r>
            <w:proofErr w:type="spellStart"/>
            <w:r w:rsidRPr="00EB4B5A">
              <w:t>Republic</w:t>
            </w:r>
            <w:proofErr w:type="spellEnd"/>
          </w:p>
        </w:tc>
        <w:tc>
          <w:tcPr>
            <w:tcW w:w="1969" w:type="dxa"/>
          </w:tcPr>
          <w:p w14:paraId="3896C055" w14:textId="77777777" w:rsidR="00EB4B5A" w:rsidRPr="00EB4B5A" w:rsidRDefault="00EB4B5A" w:rsidP="00EB4B5A">
            <w:r w:rsidRPr="00EB4B5A">
              <w:t>44,418</w:t>
            </w:r>
          </w:p>
        </w:tc>
      </w:tr>
      <w:tr w:rsidR="00EB4B5A" w:rsidRPr="00EB4B5A" w14:paraId="489FAC46" w14:textId="77777777" w:rsidTr="00365C12">
        <w:tc>
          <w:tcPr>
            <w:tcW w:w="1945" w:type="dxa"/>
          </w:tcPr>
          <w:p w14:paraId="37875D07" w14:textId="77777777" w:rsidR="00EB4B5A" w:rsidRPr="00EB4B5A" w:rsidRDefault="00EB4B5A" w:rsidP="00EB4B5A"/>
        </w:tc>
        <w:tc>
          <w:tcPr>
            <w:tcW w:w="2074" w:type="dxa"/>
          </w:tcPr>
          <w:p w14:paraId="5F08AFC1" w14:textId="77777777" w:rsidR="00EB4B5A" w:rsidRPr="00EB4B5A" w:rsidRDefault="00EB4B5A" w:rsidP="00EB4B5A">
            <w:proofErr w:type="spellStart"/>
            <w:r w:rsidRPr="00EB4B5A">
              <w:t>Slovenia</w:t>
            </w:r>
            <w:proofErr w:type="spellEnd"/>
          </w:p>
        </w:tc>
        <w:tc>
          <w:tcPr>
            <w:tcW w:w="1969" w:type="dxa"/>
          </w:tcPr>
          <w:p w14:paraId="6B4B73A0" w14:textId="77777777" w:rsidR="00EB4B5A" w:rsidRPr="00EB4B5A" w:rsidRDefault="00EB4B5A" w:rsidP="00EB4B5A">
            <w:r w:rsidRPr="00EB4B5A">
              <w:t>17,138</w:t>
            </w:r>
          </w:p>
        </w:tc>
      </w:tr>
      <w:tr w:rsidR="00EB4B5A" w:rsidRPr="00EB4B5A" w14:paraId="261629FF" w14:textId="77777777" w:rsidTr="00365C12">
        <w:tc>
          <w:tcPr>
            <w:tcW w:w="1945" w:type="dxa"/>
          </w:tcPr>
          <w:p w14:paraId="30A0C9AE" w14:textId="77777777" w:rsidR="00EB4B5A" w:rsidRPr="00EB4B5A" w:rsidRDefault="00EB4B5A" w:rsidP="00EB4B5A"/>
        </w:tc>
        <w:tc>
          <w:tcPr>
            <w:tcW w:w="2074" w:type="dxa"/>
          </w:tcPr>
          <w:p w14:paraId="2365E04B" w14:textId="77777777" w:rsidR="00EB4B5A" w:rsidRPr="00EB4B5A" w:rsidRDefault="00EB4B5A" w:rsidP="00EB4B5A">
            <w:proofErr w:type="spellStart"/>
            <w:r w:rsidRPr="00EB4B5A">
              <w:t>Moscow</w:t>
            </w:r>
            <w:proofErr w:type="spellEnd"/>
            <w:r w:rsidRPr="00EB4B5A">
              <w:t xml:space="preserve"> </w:t>
            </w:r>
            <w:proofErr w:type="spellStart"/>
            <w:r w:rsidRPr="00EB4B5A">
              <w:t>Region</w:t>
            </w:r>
            <w:proofErr w:type="spellEnd"/>
            <w:r w:rsidRPr="00EB4B5A">
              <w:t xml:space="preserve"> (RUS)</w:t>
            </w:r>
          </w:p>
        </w:tc>
        <w:tc>
          <w:tcPr>
            <w:tcW w:w="1969" w:type="dxa"/>
          </w:tcPr>
          <w:p w14:paraId="165A6D0C" w14:textId="77777777" w:rsidR="00EB4B5A" w:rsidRPr="00EB4B5A" w:rsidRDefault="00EB4B5A" w:rsidP="00EB4B5A">
            <w:r w:rsidRPr="00EB4B5A">
              <w:t>1,257,388</w:t>
            </w:r>
          </w:p>
        </w:tc>
      </w:tr>
      <w:tr w:rsidR="00EB4B5A" w:rsidRPr="00EB4B5A" w14:paraId="1FFD56E9" w14:textId="77777777" w:rsidTr="00365C12">
        <w:tc>
          <w:tcPr>
            <w:tcW w:w="1945" w:type="dxa"/>
          </w:tcPr>
          <w:p w14:paraId="3B55DDCD" w14:textId="77777777" w:rsidR="00EB4B5A" w:rsidRPr="00EB4B5A" w:rsidRDefault="00EB4B5A" w:rsidP="00EB4B5A"/>
        </w:tc>
        <w:tc>
          <w:tcPr>
            <w:tcW w:w="2074" w:type="dxa"/>
          </w:tcPr>
          <w:p w14:paraId="682AC3DB" w14:textId="77777777" w:rsidR="00EB4B5A" w:rsidRPr="00EB4B5A" w:rsidRDefault="00EB4B5A" w:rsidP="00EB4B5A">
            <w:proofErr w:type="spellStart"/>
            <w:r w:rsidRPr="00EB4B5A">
              <w:t>Tatarstan</w:t>
            </w:r>
            <w:proofErr w:type="spellEnd"/>
            <w:r w:rsidRPr="00EB4B5A">
              <w:t xml:space="preserve"> (RUS)</w:t>
            </w:r>
          </w:p>
        </w:tc>
        <w:tc>
          <w:tcPr>
            <w:tcW w:w="1969" w:type="dxa"/>
          </w:tcPr>
          <w:p w14:paraId="4BA8A637" w14:textId="77777777" w:rsidR="00EB4B5A" w:rsidRPr="00EB4B5A" w:rsidRDefault="00EB4B5A" w:rsidP="00EB4B5A">
            <w:r w:rsidRPr="00EB4B5A">
              <w:t>1,257,388</w:t>
            </w:r>
          </w:p>
        </w:tc>
      </w:tr>
      <w:tr w:rsidR="00EB4B5A" w:rsidRPr="00EB4B5A" w14:paraId="5E6482B6" w14:textId="77777777" w:rsidTr="00365C12">
        <w:tc>
          <w:tcPr>
            <w:tcW w:w="1945" w:type="dxa"/>
          </w:tcPr>
          <w:p w14:paraId="54FBF4B2" w14:textId="77777777" w:rsidR="00EB4B5A" w:rsidRPr="00EB4B5A" w:rsidRDefault="00EB4B5A" w:rsidP="00EB4B5A">
            <w:pPr>
              <w:rPr>
                <w:lang w:val="en-GB"/>
              </w:rPr>
            </w:pPr>
            <w:r w:rsidRPr="00EB4B5A">
              <w:rPr>
                <w:lang w:val="en-GB"/>
              </w:rPr>
              <w:t>South-East Asian &amp; Western Pacific</w:t>
            </w:r>
          </w:p>
        </w:tc>
        <w:tc>
          <w:tcPr>
            <w:tcW w:w="2074" w:type="dxa"/>
          </w:tcPr>
          <w:p w14:paraId="60E73883" w14:textId="77777777" w:rsidR="00EB4B5A" w:rsidRPr="00EB4B5A" w:rsidRDefault="00EB4B5A" w:rsidP="00EB4B5A">
            <w:r w:rsidRPr="00EB4B5A">
              <w:t>Australia</w:t>
            </w:r>
          </w:p>
        </w:tc>
        <w:tc>
          <w:tcPr>
            <w:tcW w:w="1969" w:type="dxa"/>
          </w:tcPr>
          <w:p w14:paraId="216FF05A" w14:textId="77777777" w:rsidR="00EB4B5A" w:rsidRPr="00EB4B5A" w:rsidRDefault="00EB4B5A" w:rsidP="00EB4B5A">
            <w:r w:rsidRPr="00EB4B5A">
              <w:t>257,779</w:t>
            </w:r>
          </w:p>
        </w:tc>
      </w:tr>
      <w:tr w:rsidR="00EB4B5A" w:rsidRPr="00EB4B5A" w14:paraId="3E1C5BBA" w14:textId="77777777" w:rsidTr="00365C12">
        <w:tc>
          <w:tcPr>
            <w:tcW w:w="1945" w:type="dxa"/>
          </w:tcPr>
          <w:p w14:paraId="50F76E09" w14:textId="77777777" w:rsidR="00EB4B5A" w:rsidRPr="00EB4B5A" w:rsidRDefault="00EB4B5A" w:rsidP="00EB4B5A"/>
        </w:tc>
        <w:tc>
          <w:tcPr>
            <w:tcW w:w="2074" w:type="dxa"/>
          </w:tcPr>
          <w:p w14:paraId="3F453B04" w14:textId="77777777" w:rsidR="00EB4B5A" w:rsidRPr="00EB4B5A" w:rsidRDefault="00EB4B5A" w:rsidP="00EB4B5A">
            <w:proofErr w:type="spellStart"/>
            <w:r w:rsidRPr="00EB4B5A">
              <w:t>Brunei</w:t>
            </w:r>
            <w:proofErr w:type="spellEnd"/>
            <w:r w:rsidRPr="00EB4B5A">
              <w:t xml:space="preserve"> Darussalam</w:t>
            </w:r>
          </w:p>
        </w:tc>
        <w:tc>
          <w:tcPr>
            <w:tcW w:w="1969" w:type="dxa"/>
          </w:tcPr>
          <w:p w14:paraId="5DF5E9EF" w14:textId="77777777" w:rsidR="00EB4B5A" w:rsidRPr="00EB4B5A" w:rsidRDefault="00EB4B5A" w:rsidP="00EB4B5A">
            <w:r w:rsidRPr="00EB4B5A">
              <w:t>6,899</w:t>
            </w:r>
          </w:p>
        </w:tc>
      </w:tr>
      <w:tr w:rsidR="00EB4B5A" w:rsidRPr="00EB4B5A" w14:paraId="1EE630E6" w14:textId="77777777" w:rsidTr="00365C12">
        <w:tc>
          <w:tcPr>
            <w:tcW w:w="1945" w:type="dxa"/>
          </w:tcPr>
          <w:p w14:paraId="60F7C99B" w14:textId="77777777" w:rsidR="00EB4B5A" w:rsidRPr="00EB4B5A" w:rsidRDefault="00EB4B5A" w:rsidP="00EB4B5A"/>
        </w:tc>
        <w:tc>
          <w:tcPr>
            <w:tcW w:w="2074" w:type="dxa"/>
          </w:tcPr>
          <w:p w14:paraId="1CFE33C0" w14:textId="77777777" w:rsidR="00EB4B5A" w:rsidRPr="00EB4B5A" w:rsidRDefault="00EB4B5A" w:rsidP="00EB4B5A">
            <w:proofErr w:type="spellStart"/>
            <w:r w:rsidRPr="00EB4B5A">
              <w:t>Chinese</w:t>
            </w:r>
            <w:proofErr w:type="spellEnd"/>
            <w:r w:rsidRPr="00EB4B5A">
              <w:t xml:space="preserve"> </w:t>
            </w:r>
            <w:proofErr w:type="spellStart"/>
            <w:r w:rsidRPr="00EB4B5A">
              <w:t>Taipei</w:t>
            </w:r>
            <w:proofErr w:type="spellEnd"/>
          </w:p>
        </w:tc>
        <w:tc>
          <w:tcPr>
            <w:tcW w:w="1969" w:type="dxa"/>
          </w:tcPr>
          <w:p w14:paraId="5F140A90" w14:textId="77777777" w:rsidR="00EB4B5A" w:rsidRPr="00EB4B5A" w:rsidRDefault="00EB4B5A" w:rsidP="00EB4B5A">
            <w:r w:rsidRPr="00EB4B5A">
              <w:t>226,698</w:t>
            </w:r>
          </w:p>
        </w:tc>
      </w:tr>
      <w:tr w:rsidR="00EB4B5A" w:rsidRPr="00EB4B5A" w14:paraId="7B9C9387" w14:textId="77777777" w:rsidTr="00365C12">
        <w:tc>
          <w:tcPr>
            <w:tcW w:w="1945" w:type="dxa"/>
          </w:tcPr>
          <w:p w14:paraId="7FEEA152" w14:textId="77777777" w:rsidR="00EB4B5A" w:rsidRPr="00EB4B5A" w:rsidRDefault="00EB4B5A" w:rsidP="00EB4B5A"/>
        </w:tc>
        <w:tc>
          <w:tcPr>
            <w:tcW w:w="2074" w:type="dxa"/>
          </w:tcPr>
          <w:p w14:paraId="00AFC8B8" w14:textId="77777777" w:rsidR="00EB4B5A" w:rsidRPr="00EB4B5A" w:rsidRDefault="00EB4B5A" w:rsidP="00EB4B5A">
            <w:r w:rsidRPr="00EB4B5A">
              <w:t>Hong Kong</w:t>
            </w:r>
          </w:p>
        </w:tc>
        <w:tc>
          <w:tcPr>
            <w:tcW w:w="1969" w:type="dxa"/>
          </w:tcPr>
          <w:p w14:paraId="72B3ED1E" w14:textId="77777777" w:rsidR="00EB4B5A" w:rsidRPr="00EB4B5A" w:rsidRDefault="00EB4B5A" w:rsidP="00EB4B5A">
            <w:r w:rsidRPr="00EB4B5A">
              <w:t>51,101</w:t>
            </w:r>
          </w:p>
        </w:tc>
      </w:tr>
      <w:tr w:rsidR="00EB4B5A" w:rsidRPr="00EB4B5A" w14:paraId="627A4988" w14:textId="77777777" w:rsidTr="00365C12">
        <w:tc>
          <w:tcPr>
            <w:tcW w:w="1945" w:type="dxa"/>
          </w:tcPr>
          <w:p w14:paraId="40D4A28C" w14:textId="77777777" w:rsidR="00EB4B5A" w:rsidRPr="00EB4B5A" w:rsidRDefault="00EB4B5A" w:rsidP="00EB4B5A"/>
        </w:tc>
        <w:tc>
          <w:tcPr>
            <w:tcW w:w="2074" w:type="dxa"/>
          </w:tcPr>
          <w:p w14:paraId="386C9C1E" w14:textId="77777777" w:rsidR="00EB4B5A" w:rsidRPr="00EB4B5A" w:rsidRDefault="00EB4B5A" w:rsidP="00EB4B5A">
            <w:proofErr w:type="spellStart"/>
            <w:r w:rsidRPr="00EB4B5A">
              <w:t>Japan</w:t>
            </w:r>
            <w:proofErr w:type="spellEnd"/>
          </w:p>
        </w:tc>
        <w:tc>
          <w:tcPr>
            <w:tcW w:w="1969" w:type="dxa"/>
          </w:tcPr>
          <w:p w14:paraId="39ADFAC6" w14:textId="77777777" w:rsidR="00EB4B5A" w:rsidRPr="00EB4B5A" w:rsidRDefault="00EB4B5A" w:rsidP="00EB4B5A">
            <w:r w:rsidRPr="00EB4B5A">
              <w:t>1,078,921</w:t>
            </w:r>
          </w:p>
        </w:tc>
      </w:tr>
      <w:tr w:rsidR="00EB4B5A" w:rsidRPr="00EB4B5A" w14:paraId="27466193" w14:textId="77777777" w:rsidTr="00365C12">
        <w:tc>
          <w:tcPr>
            <w:tcW w:w="1945" w:type="dxa"/>
          </w:tcPr>
          <w:p w14:paraId="0863CAD0" w14:textId="77777777" w:rsidR="00EB4B5A" w:rsidRPr="00EB4B5A" w:rsidRDefault="00EB4B5A" w:rsidP="00EB4B5A"/>
        </w:tc>
        <w:tc>
          <w:tcPr>
            <w:tcW w:w="2074" w:type="dxa"/>
          </w:tcPr>
          <w:p w14:paraId="77685052" w14:textId="77777777" w:rsidR="00EB4B5A" w:rsidRPr="00EB4B5A" w:rsidRDefault="00EB4B5A" w:rsidP="00EB4B5A">
            <w:proofErr w:type="spellStart"/>
            <w:r w:rsidRPr="00EB4B5A">
              <w:t>Korea</w:t>
            </w:r>
            <w:proofErr w:type="spellEnd"/>
          </w:p>
        </w:tc>
        <w:tc>
          <w:tcPr>
            <w:tcW w:w="1969" w:type="dxa"/>
          </w:tcPr>
          <w:p w14:paraId="77DE53EB" w14:textId="77777777" w:rsidR="00EB4B5A" w:rsidRPr="00EB4B5A" w:rsidRDefault="00EB4B5A" w:rsidP="00EB4B5A">
            <w:r w:rsidRPr="00EB4B5A">
              <w:t>455,544</w:t>
            </w:r>
          </w:p>
        </w:tc>
      </w:tr>
      <w:tr w:rsidR="00EB4B5A" w:rsidRPr="00EB4B5A" w14:paraId="7122A0AB" w14:textId="77777777" w:rsidTr="00365C12">
        <w:tc>
          <w:tcPr>
            <w:tcW w:w="1945" w:type="dxa"/>
          </w:tcPr>
          <w:p w14:paraId="5219F9FA" w14:textId="77777777" w:rsidR="00EB4B5A" w:rsidRPr="00EB4B5A" w:rsidRDefault="00EB4B5A" w:rsidP="00EB4B5A"/>
        </w:tc>
        <w:tc>
          <w:tcPr>
            <w:tcW w:w="2074" w:type="dxa"/>
          </w:tcPr>
          <w:p w14:paraId="4997C0CA" w14:textId="77777777" w:rsidR="00EB4B5A" w:rsidRPr="00EB4B5A" w:rsidRDefault="00EB4B5A" w:rsidP="00EB4B5A">
            <w:r w:rsidRPr="00EB4B5A">
              <w:t>Macao</w:t>
            </w:r>
          </w:p>
        </w:tc>
        <w:tc>
          <w:tcPr>
            <w:tcW w:w="1969" w:type="dxa"/>
          </w:tcPr>
          <w:p w14:paraId="5DCBDE79" w14:textId="77777777" w:rsidR="00EB4B5A" w:rsidRPr="00EB4B5A" w:rsidRDefault="00EB4B5A" w:rsidP="00EB4B5A">
            <w:r w:rsidRPr="00EB4B5A">
              <w:t>3,799</w:t>
            </w:r>
          </w:p>
        </w:tc>
      </w:tr>
      <w:tr w:rsidR="00EB4B5A" w:rsidRPr="00EB4B5A" w14:paraId="370D45C0" w14:textId="77777777" w:rsidTr="00365C12">
        <w:tc>
          <w:tcPr>
            <w:tcW w:w="1945" w:type="dxa"/>
          </w:tcPr>
          <w:p w14:paraId="587AC2B8" w14:textId="77777777" w:rsidR="00EB4B5A" w:rsidRPr="00EB4B5A" w:rsidRDefault="00EB4B5A" w:rsidP="00EB4B5A"/>
        </w:tc>
        <w:tc>
          <w:tcPr>
            <w:tcW w:w="2074" w:type="dxa"/>
          </w:tcPr>
          <w:p w14:paraId="788CFDC2" w14:textId="77777777" w:rsidR="00EB4B5A" w:rsidRPr="00EB4B5A" w:rsidRDefault="00EB4B5A" w:rsidP="00EB4B5A">
            <w:r w:rsidRPr="00EB4B5A">
              <w:t xml:space="preserve">New </w:t>
            </w:r>
            <w:proofErr w:type="spellStart"/>
            <w:r w:rsidRPr="00EB4B5A">
              <w:t>Zealand</w:t>
            </w:r>
            <w:proofErr w:type="spellEnd"/>
          </w:p>
        </w:tc>
        <w:tc>
          <w:tcPr>
            <w:tcW w:w="1969" w:type="dxa"/>
          </w:tcPr>
          <w:p w14:paraId="53EFF16A" w14:textId="77777777" w:rsidR="00EB4B5A" w:rsidRPr="00EB4B5A" w:rsidRDefault="00EB4B5A" w:rsidP="00EB4B5A">
            <w:r w:rsidRPr="00EB4B5A">
              <w:t>53,000</w:t>
            </w:r>
          </w:p>
        </w:tc>
      </w:tr>
      <w:tr w:rsidR="00EB4B5A" w:rsidRPr="00EB4B5A" w14:paraId="5C279DA5" w14:textId="77777777" w:rsidTr="00365C12">
        <w:tc>
          <w:tcPr>
            <w:tcW w:w="1945" w:type="dxa"/>
          </w:tcPr>
          <w:p w14:paraId="1339B337" w14:textId="77777777" w:rsidR="00EB4B5A" w:rsidRPr="00EB4B5A" w:rsidRDefault="00EB4B5A" w:rsidP="00EB4B5A"/>
        </w:tc>
        <w:tc>
          <w:tcPr>
            <w:tcW w:w="2074" w:type="dxa"/>
          </w:tcPr>
          <w:p w14:paraId="279CFE01" w14:textId="77777777" w:rsidR="00EB4B5A" w:rsidRPr="00EB4B5A" w:rsidRDefault="00EB4B5A" w:rsidP="00EB4B5A">
            <w:proofErr w:type="spellStart"/>
            <w:r w:rsidRPr="00EB4B5A">
              <w:t>Singapore</w:t>
            </w:r>
            <w:proofErr w:type="spellEnd"/>
          </w:p>
        </w:tc>
        <w:tc>
          <w:tcPr>
            <w:tcW w:w="1969" w:type="dxa"/>
          </w:tcPr>
          <w:p w14:paraId="4CC9289B" w14:textId="77777777" w:rsidR="00EB4B5A" w:rsidRPr="00EB4B5A" w:rsidRDefault="00EB4B5A" w:rsidP="00EB4B5A">
            <w:r w:rsidRPr="00EB4B5A">
              <w:t>44,058</w:t>
            </w:r>
          </w:p>
        </w:tc>
      </w:tr>
      <w:tr w:rsidR="00EB4B5A" w:rsidRPr="00EB4B5A" w14:paraId="78D1C6F8" w14:textId="77777777" w:rsidTr="00365C12">
        <w:tc>
          <w:tcPr>
            <w:tcW w:w="1945" w:type="dxa"/>
          </w:tcPr>
          <w:p w14:paraId="76D7ACE3" w14:textId="77777777" w:rsidR="00EB4B5A" w:rsidRPr="00EB4B5A" w:rsidRDefault="00EB4B5A" w:rsidP="00EB4B5A"/>
        </w:tc>
        <w:tc>
          <w:tcPr>
            <w:tcW w:w="2074" w:type="dxa"/>
          </w:tcPr>
          <w:p w14:paraId="4B107A86" w14:textId="77777777" w:rsidR="00EB4B5A" w:rsidRPr="00EB4B5A" w:rsidRDefault="00EB4B5A" w:rsidP="00EB4B5A">
            <w:proofErr w:type="spellStart"/>
            <w:r w:rsidRPr="00EB4B5A">
              <w:t>Thailand</w:t>
            </w:r>
            <w:proofErr w:type="spellEnd"/>
          </w:p>
        </w:tc>
        <w:tc>
          <w:tcPr>
            <w:tcW w:w="1969" w:type="dxa"/>
          </w:tcPr>
          <w:p w14:paraId="52393C79" w14:textId="77777777" w:rsidR="00EB4B5A" w:rsidRPr="00EB4B5A" w:rsidRDefault="00EB4B5A" w:rsidP="00EB4B5A">
            <w:r w:rsidRPr="00EB4B5A">
              <w:t>575,713</w:t>
            </w:r>
          </w:p>
        </w:tc>
      </w:tr>
      <w:tr w:rsidR="00EB4B5A" w:rsidRPr="00EB4B5A" w14:paraId="4FD8A913" w14:textId="77777777" w:rsidTr="00365C12">
        <w:tc>
          <w:tcPr>
            <w:tcW w:w="1945" w:type="dxa"/>
          </w:tcPr>
          <w:p w14:paraId="22CB1035" w14:textId="77777777" w:rsidR="00EB4B5A" w:rsidRPr="00EB4B5A" w:rsidRDefault="00EB4B5A" w:rsidP="00EB4B5A">
            <w:proofErr w:type="spellStart"/>
            <w:r w:rsidRPr="00EB4B5A">
              <w:t>Africa</w:t>
            </w:r>
            <w:proofErr w:type="spellEnd"/>
          </w:p>
        </w:tc>
        <w:tc>
          <w:tcPr>
            <w:tcW w:w="2074" w:type="dxa"/>
          </w:tcPr>
          <w:p w14:paraId="63397B52" w14:textId="77777777" w:rsidR="00EB4B5A" w:rsidRPr="00EB4B5A" w:rsidRDefault="00EB4B5A" w:rsidP="00EB4B5A">
            <w:proofErr w:type="spellStart"/>
            <w:r w:rsidRPr="00EB4B5A">
              <w:t>Morocco</w:t>
            </w:r>
            <w:proofErr w:type="spellEnd"/>
          </w:p>
        </w:tc>
        <w:tc>
          <w:tcPr>
            <w:tcW w:w="1969" w:type="dxa"/>
          </w:tcPr>
          <w:p w14:paraId="2F3CF03A" w14:textId="77777777" w:rsidR="00EB4B5A" w:rsidRPr="00EB4B5A" w:rsidRDefault="00EB4B5A" w:rsidP="00EB4B5A">
            <w:r w:rsidRPr="00EB4B5A">
              <w:t>386,408</w:t>
            </w:r>
          </w:p>
        </w:tc>
      </w:tr>
    </w:tbl>
    <w:p w14:paraId="45DB2D19" w14:textId="77777777" w:rsidR="00EB4B5A" w:rsidRPr="00EB4B5A" w:rsidRDefault="00EB4B5A" w:rsidP="00EB4B5A">
      <w:pPr>
        <w:rPr>
          <w:rFonts w:eastAsiaTheme="minorHAnsi"/>
        </w:rPr>
      </w:pPr>
    </w:p>
    <w:p w14:paraId="045DE0D7" w14:textId="77777777" w:rsidR="00EB4B5A" w:rsidRPr="00EB4B5A" w:rsidRDefault="00EB4B5A" w:rsidP="00EB4B5A">
      <w:pPr>
        <w:rPr>
          <w:rFonts w:eastAsiaTheme="minorHAnsi"/>
        </w:rPr>
      </w:pPr>
    </w:p>
    <w:p w14:paraId="208759E5" w14:textId="77777777" w:rsidR="00EB4B5A" w:rsidRPr="00EB4B5A" w:rsidRDefault="00EB4B5A" w:rsidP="00EB4B5A">
      <w:pPr>
        <w:rPr>
          <w:rFonts w:eastAsiaTheme="minorHAnsi"/>
        </w:rPr>
      </w:pPr>
    </w:p>
    <w:p w14:paraId="03906C1B" w14:textId="77777777" w:rsidR="00EB4B5A" w:rsidRPr="00EB4B5A" w:rsidRDefault="00EB4B5A" w:rsidP="00EB4B5A">
      <w:pPr>
        <w:rPr>
          <w:rFonts w:eastAsiaTheme="minorHAnsi"/>
        </w:rPr>
      </w:pPr>
    </w:p>
    <w:p w14:paraId="568FE6FA" w14:textId="77777777" w:rsidR="00EB4B5A" w:rsidRPr="00EB4B5A" w:rsidRDefault="00EB4B5A" w:rsidP="00EB4B5A">
      <w:pPr>
        <w:rPr>
          <w:rFonts w:eastAsiaTheme="minorHAnsi"/>
        </w:rPr>
      </w:pPr>
    </w:p>
    <w:p w14:paraId="699CF43D" w14:textId="77777777" w:rsidR="00EB4B5A" w:rsidRPr="00EB4B5A" w:rsidRDefault="00EB4B5A" w:rsidP="00EB4B5A">
      <w:pPr>
        <w:rPr>
          <w:rFonts w:eastAsiaTheme="minorHAnsi"/>
        </w:rPr>
      </w:pPr>
    </w:p>
    <w:p w14:paraId="21CD661E" w14:textId="19C497F7" w:rsidR="00EB4B5A" w:rsidRDefault="00EB4B5A" w:rsidP="00EB4B5A">
      <w:pPr>
        <w:rPr>
          <w:sz w:val="24"/>
          <w:szCs w:val="24"/>
          <w:lang w:val="en-GB"/>
        </w:rPr>
      </w:pPr>
    </w:p>
    <w:tbl>
      <w:tblPr>
        <w:tblStyle w:val="TableGrid2"/>
        <w:tblpPr w:leftFromText="141" w:rightFromText="141" w:vertAnchor="page" w:horzAnchor="margin" w:tblpXSpec="center" w:tblpY="1465"/>
        <w:tblW w:w="8784" w:type="dxa"/>
        <w:jc w:val="center"/>
        <w:tblLook w:val="04A0" w:firstRow="1" w:lastRow="0" w:firstColumn="1" w:lastColumn="0" w:noHBand="0" w:noVBand="1"/>
      </w:tblPr>
      <w:tblGrid>
        <w:gridCol w:w="1568"/>
        <w:gridCol w:w="1333"/>
        <w:gridCol w:w="726"/>
        <w:gridCol w:w="741"/>
        <w:gridCol w:w="741"/>
        <w:gridCol w:w="726"/>
        <w:gridCol w:w="741"/>
        <w:gridCol w:w="741"/>
        <w:gridCol w:w="726"/>
        <w:gridCol w:w="741"/>
        <w:gridCol w:w="741"/>
      </w:tblGrid>
      <w:tr w:rsidR="00EB4B5A" w:rsidRPr="00EB4B5A" w14:paraId="2792956D" w14:textId="77777777" w:rsidTr="00365C12">
        <w:trPr>
          <w:jc w:val="center"/>
        </w:trPr>
        <w:tc>
          <w:tcPr>
            <w:tcW w:w="8784" w:type="dxa"/>
            <w:gridSpan w:val="11"/>
          </w:tcPr>
          <w:p w14:paraId="64BC5194" w14:textId="77777777" w:rsidR="00EB4B5A" w:rsidRPr="00EB4B5A" w:rsidRDefault="00EB4B5A" w:rsidP="00EB4B5A">
            <w:pPr>
              <w:jc w:val="center"/>
              <w:rPr>
                <w:b/>
                <w:bCs/>
                <w:lang w:val="en-GB"/>
              </w:rPr>
            </w:pPr>
            <w:proofErr w:type="spellStart"/>
            <w:r w:rsidRPr="00EB4B5A">
              <w:rPr>
                <w:b/>
                <w:bCs/>
                <w:lang w:val="en-GB"/>
              </w:rPr>
              <w:lastRenderedPageBreak/>
              <w:t>eTable</w:t>
            </w:r>
            <w:proofErr w:type="spellEnd"/>
            <w:r w:rsidRPr="00EB4B5A">
              <w:rPr>
                <w:b/>
                <w:bCs/>
                <w:lang w:val="en-GB"/>
              </w:rPr>
              <w:t xml:space="preserve"> 2. Country-wise association between age of first exposure and heavy Internet use during adolescence adjusted for control variables.</w:t>
            </w:r>
          </w:p>
        </w:tc>
      </w:tr>
      <w:tr w:rsidR="00EB4B5A" w:rsidRPr="00EB4B5A" w14:paraId="35E61F09" w14:textId="77777777" w:rsidTr="00365C12">
        <w:trPr>
          <w:jc w:val="center"/>
        </w:trPr>
        <w:tc>
          <w:tcPr>
            <w:tcW w:w="1374" w:type="dxa"/>
          </w:tcPr>
          <w:p w14:paraId="3D7B3756" w14:textId="77777777" w:rsidR="00EB4B5A" w:rsidRPr="00EB4B5A" w:rsidRDefault="00EB4B5A" w:rsidP="00EB4B5A">
            <w:pPr>
              <w:jc w:val="center"/>
              <w:rPr>
                <w:lang w:val="en-GB"/>
              </w:rPr>
            </w:pPr>
            <w:r w:rsidRPr="00EB4B5A">
              <w:rPr>
                <w:lang w:val="en-GB"/>
              </w:rPr>
              <w:t>Geographical areas</w:t>
            </w:r>
          </w:p>
        </w:tc>
        <w:tc>
          <w:tcPr>
            <w:tcW w:w="1173" w:type="dxa"/>
          </w:tcPr>
          <w:p w14:paraId="3B06B5AF" w14:textId="77777777" w:rsidR="00EB4B5A" w:rsidRPr="00EB4B5A" w:rsidRDefault="00EB4B5A" w:rsidP="00EB4B5A">
            <w:pPr>
              <w:jc w:val="center"/>
              <w:rPr>
                <w:lang w:val="en-GB"/>
              </w:rPr>
            </w:pPr>
            <w:r w:rsidRPr="00EB4B5A">
              <w:rPr>
                <w:lang w:val="en-GB"/>
              </w:rPr>
              <w:t>Country</w:t>
            </w:r>
          </w:p>
        </w:tc>
        <w:tc>
          <w:tcPr>
            <w:tcW w:w="1983" w:type="dxa"/>
            <w:gridSpan w:val="3"/>
          </w:tcPr>
          <w:p w14:paraId="0B74D371" w14:textId="77777777" w:rsidR="00EB4B5A" w:rsidRPr="00EB4B5A" w:rsidRDefault="00EB4B5A" w:rsidP="00EB4B5A">
            <w:pPr>
              <w:jc w:val="center"/>
              <w:rPr>
                <w:lang w:val="en-GB"/>
              </w:rPr>
            </w:pPr>
            <w:r w:rsidRPr="00EB4B5A">
              <w:rPr>
                <w:lang w:val="en-GB"/>
              </w:rPr>
              <w:t>Heavy Internet use weekdays (OR) (95% CI)</w:t>
            </w:r>
          </w:p>
        </w:tc>
        <w:tc>
          <w:tcPr>
            <w:tcW w:w="1982" w:type="dxa"/>
            <w:gridSpan w:val="3"/>
          </w:tcPr>
          <w:p w14:paraId="1BE059DD" w14:textId="77777777" w:rsidR="00EB4B5A" w:rsidRPr="00EB4B5A" w:rsidRDefault="00EB4B5A" w:rsidP="00EB4B5A">
            <w:pPr>
              <w:jc w:val="center"/>
              <w:rPr>
                <w:lang w:val="en-GB"/>
              </w:rPr>
            </w:pPr>
            <w:r w:rsidRPr="00EB4B5A">
              <w:rPr>
                <w:lang w:val="en-GB"/>
              </w:rPr>
              <w:t>Heavy Internet use during weekends (OR) (95% CI)</w:t>
            </w:r>
          </w:p>
        </w:tc>
        <w:tc>
          <w:tcPr>
            <w:tcW w:w="2272" w:type="dxa"/>
            <w:gridSpan w:val="3"/>
          </w:tcPr>
          <w:p w14:paraId="08E43587" w14:textId="77777777" w:rsidR="00EB4B5A" w:rsidRPr="00EB4B5A" w:rsidRDefault="00EB4B5A" w:rsidP="00EB4B5A">
            <w:pPr>
              <w:jc w:val="center"/>
              <w:rPr>
                <w:lang w:val="en-GB"/>
              </w:rPr>
            </w:pPr>
            <w:r w:rsidRPr="00EB4B5A">
              <w:rPr>
                <w:lang w:val="en-GB"/>
              </w:rPr>
              <w:t>Heavy Internet use in the school (OR) (95% CI)</w:t>
            </w:r>
          </w:p>
        </w:tc>
      </w:tr>
      <w:tr w:rsidR="00EB4B5A" w:rsidRPr="00EB4B5A" w14:paraId="03C3B42A" w14:textId="77777777" w:rsidTr="00365C12">
        <w:trPr>
          <w:jc w:val="center"/>
        </w:trPr>
        <w:tc>
          <w:tcPr>
            <w:tcW w:w="1374" w:type="dxa"/>
          </w:tcPr>
          <w:p w14:paraId="58416F70" w14:textId="77777777" w:rsidR="00EB4B5A" w:rsidRPr="00EB4B5A" w:rsidRDefault="00EB4B5A" w:rsidP="00EB4B5A">
            <w:pPr>
              <w:jc w:val="center"/>
              <w:rPr>
                <w:lang w:val="en-GB"/>
              </w:rPr>
            </w:pPr>
          </w:p>
        </w:tc>
        <w:tc>
          <w:tcPr>
            <w:tcW w:w="1173" w:type="dxa"/>
          </w:tcPr>
          <w:p w14:paraId="615D0D5A" w14:textId="77777777" w:rsidR="00EB4B5A" w:rsidRPr="00EB4B5A" w:rsidRDefault="00EB4B5A" w:rsidP="00EB4B5A">
            <w:pPr>
              <w:jc w:val="center"/>
              <w:rPr>
                <w:lang w:val="en-GB"/>
              </w:rPr>
            </w:pPr>
          </w:p>
        </w:tc>
        <w:tc>
          <w:tcPr>
            <w:tcW w:w="653" w:type="dxa"/>
          </w:tcPr>
          <w:p w14:paraId="49D62497" w14:textId="77777777" w:rsidR="00EB4B5A" w:rsidRPr="00EB4B5A" w:rsidRDefault="00EB4B5A" w:rsidP="00EB4B5A">
            <w:pPr>
              <w:rPr>
                <w:lang w:val="en-GB"/>
              </w:rPr>
            </w:pPr>
            <w:r w:rsidRPr="00EB4B5A">
              <w:rPr>
                <w:lang w:val="en-GB"/>
              </w:rPr>
              <w:t>9 years or lower</w:t>
            </w:r>
          </w:p>
        </w:tc>
        <w:tc>
          <w:tcPr>
            <w:tcW w:w="665" w:type="dxa"/>
          </w:tcPr>
          <w:p w14:paraId="3746881A" w14:textId="77777777" w:rsidR="00EB4B5A" w:rsidRPr="00EB4B5A" w:rsidRDefault="00EB4B5A" w:rsidP="00EB4B5A">
            <w:pPr>
              <w:jc w:val="center"/>
              <w:rPr>
                <w:lang w:val="en-GB"/>
              </w:rPr>
            </w:pPr>
            <w:r w:rsidRPr="00EB4B5A">
              <w:rPr>
                <w:lang w:val="en-GB"/>
              </w:rPr>
              <w:t>10 to 12 years</w:t>
            </w:r>
          </w:p>
        </w:tc>
        <w:tc>
          <w:tcPr>
            <w:tcW w:w="665" w:type="dxa"/>
          </w:tcPr>
          <w:p w14:paraId="27E01FB8" w14:textId="77777777" w:rsidR="00EB4B5A" w:rsidRPr="00EB4B5A" w:rsidRDefault="00EB4B5A" w:rsidP="00EB4B5A">
            <w:pPr>
              <w:jc w:val="center"/>
              <w:rPr>
                <w:lang w:val="en-GB"/>
              </w:rPr>
            </w:pPr>
            <w:r w:rsidRPr="00EB4B5A">
              <w:rPr>
                <w:lang w:val="en-GB"/>
              </w:rPr>
              <w:t>13 years or over</w:t>
            </w:r>
          </w:p>
        </w:tc>
        <w:tc>
          <w:tcPr>
            <w:tcW w:w="652" w:type="dxa"/>
          </w:tcPr>
          <w:p w14:paraId="5C2D9A40" w14:textId="77777777" w:rsidR="00EB4B5A" w:rsidRPr="00EB4B5A" w:rsidRDefault="00EB4B5A" w:rsidP="00EB4B5A">
            <w:pPr>
              <w:jc w:val="center"/>
              <w:rPr>
                <w:lang w:val="en-GB"/>
              </w:rPr>
            </w:pPr>
            <w:r w:rsidRPr="00EB4B5A">
              <w:t xml:space="preserve">9 </w:t>
            </w:r>
            <w:proofErr w:type="spellStart"/>
            <w:r w:rsidRPr="00EB4B5A">
              <w:t>years</w:t>
            </w:r>
            <w:proofErr w:type="spellEnd"/>
            <w:r w:rsidRPr="00EB4B5A">
              <w:t xml:space="preserve"> </w:t>
            </w:r>
            <w:proofErr w:type="spellStart"/>
            <w:r w:rsidRPr="00EB4B5A">
              <w:t>or</w:t>
            </w:r>
            <w:proofErr w:type="spellEnd"/>
            <w:r w:rsidRPr="00EB4B5A">
              <w:t xml:space="preserve"> </w:t>
            </w:r>
            <w:proofErr w:type="spellStart"/>
            <w:r w:rsidRPr="00EB4B5A">
              <w:t>lower</w:t>
            </w:r>
            <w:proofErr w:type="spellEnd"/>
          </w:p>
        </w:tc>
        <w:tc>
          <w:tcPr>
            <w:tcW w:w="665" w:type="dxa"/>
          </w:tcPr>
          <w:p w14:paraId="5C83833B" w14:textId="77777777" w:rsidR="00EB4B5A" w:rsidRPr="00EB4B5A" w:rsidRDefault="00EB4B5A" w:rsidP="00EB4B5A">
            <w:pPr>
              <w:jc w:val="center"/>
              <w:rPr>
                <w:lang w:val="en-GB"/>
              </w:rPr>
            </w:pPr>
            <w:r w:rsidRPr="00EB4B5A">
              <w:t xml:space="preserve">10 </w:t>
            </w:r>
            <w:proofErr w:type="spellStart"/>
            <w:r w:rsidRPr="00EB4B5A">
              <w:t>to</w:t>
            </w:r>
            <w:proofErr w:type="spellEnd"/>
            <w:r w:rsidRPr="00EB4B5A">
              <w:t xml:space="preserve"> 12 </w:t>
            </w:r>
            <w:proofErr w:type="spellStart"/>
            <w:r w:rsidRPr="00EB4B5A">
              <w:t>years</w:t>
            </w:r>
            <w:proofErr w:type="spellEnd"/>
          </w:p>
        </w:tc>
        <w:tc>
          <w:tcPr>
            <w:tcW w:w="665" w:type="dxa"/>
          </w:tcPr>
          <w:p w14:paraId="3C4E638C" w14:textId="77777777" w:rsidR="00EB4B5A" w:rsidRPr="00EB4B5A" w:rsidRDefault="00EB4B5A" w:rsidP="00EB4B5A">
            <w:pPr>
              <w:jc w:val="center"/>
              <w:rPr>
                <w:lang w:val="en-GB"/>
              </w:rPr>
            </w:pPr>
            <w:r w:rsidRPr="00EB4B5A">
              <w:t xml:space="preserve">13 </w:t>
            </w:r>
            <w:proofErr w:type="spellStart"/>
            <w:r w:rsidRPr="00EB4B5A">
              <w:t>years</w:t>
            </w:r>
            <w:proofErr w:type="spellEnd"/>
            <w:r w:rsidRPr="00EB4B5A">
              <w:t xml:space="preserve"> </w:t>
            </w:r>
            <w:proofErr w:type="spellStart"/>
            <w:r w:rsidRPr="00EB4B5A">
              <w:t>or</w:t>
            </w:r>
            <w:proofErr w:type="spellEnd"/>
            <w:r w:rsidRPr="00EB4B5A">
              <w:t xml:space="preserve"> </w:t>
            </w:r>
            <w:proofErr w:type="spellStart"/>
            <w:r w:rsidRPr="00EB4B5A">
              <w:t>over</w:t>
            </w:r>
            <w:proofErr w:type="spellEnd"/>
          </w:p>
        </w:tc>
        <w:tc>
          <w:tcPr>
            <w:tcW w:w="652" w:type="dxa"/>
          </w:tcPr>
          <w:p w14:paraId="264DC807" w14:textId="77777777" w:rsidR="00EB4B5A" w:rsidRPr="00EB4B5A" w:rsidRDefault="00EB4B5A" w:rsidP="00EB4B5A">
            <w:pPr>
              <w:jc w:val="center"/>
              <w:rPr>
                <w:lang w:val="en-GB"/>
              </w:rPr>
            </w:pPr>
            <w:r w:rsidRPr="00EB4B5A">
              <w:t xml:space="preserve">9 </w:t>
            </w:r>
            <w:proofErr w:type="spellStart"/>
            <w:r w:rsidRPr="00EB4B5A">
              <w:t>years</w:t>
            </w:r>
            <w:proofErr w:type="spellEnd"/>
            <w:r w:rsidRPr="00EB4B5A">
              <w:t xml:space="preserve"> </w:t>
            </w:r>
            <w:proofErr w:type="spellStart"/>
            <w:r w:rsidRPr="00EB4B5A">
              <w:t>or</w:t>
            </w:r>
            <w:proofErr w:type="spellEnd"/>
            <w:r w:rsidRPr="00EB4B5A">
              <w:t xml:space="preserve"> </w:t>
            </w:r>
            <w:proofErr w:type="spellStart"/>
            <w:r w:rsidRPr="00EB4B5A">
              <w:t>lower</w:t>
            </w:r>
            <w:proofErr w:type="spellEnd"/>
          </w:p>
        </w:tc>
        <w:tc>
          <w:tcPr>
            <w:tcW w:w="665" w:type="dxa"/>
          </w:tcPr>
          <w:p w14:paraId="10FF8A0A" w14:textId="77777777" w:rsidR="00EB4B5A" w:rsidRPr="00EB4B5A" w:rsidRDefault="00EB4B5A" w:rsidP="00EB4B5A">
            <w:pPr>
              <w:jc w:val="center"/>
              <w:rPr>
                <w:lang w:val="en-GB"/>
              </w:rPr>
            </w:pPr>
            <w:r w:rsidRPr="00EB4B5A">
              <w:t xml:space="preserve">10 </w:t>
            </w:r>
            <w:proofErr w:type="spellStart"/>
            <w:r w:rsidRPr="00EB4B5A">
              <w:t>to</w:t>
            </w:r>
            <w:proofErr w:type="spellEnd"/>
            <w:r w:rsidRPr="00EB4B5A">
              <w:t xml:space="preserve"> 12 </w:t>
            </w:r>
            <w:proofErr w:type="spellStart"/>
            <w:r w:rsidRPr="00EB4B5A">
              <w:t>years</w:t>
            </w:r>
            <w:proofErr w:type="spellEnd"/>
          </w:p>
        </w:tc>
        <w:tc>
          <w:tcPr>
            <w:tcW w:w="955" w:type="dxa"/>
          </w:tcPr>
          <w:p w14:paraId="365F5EC6" w14:textId="77777777" w:rsidR="00EB4B5A" w:rsidRPr="00EB4B5A" w:rsidRDefault="00EB4B5A" w:rsidP="00EB4B5A">
            <w:pPr>
              <w:jc w:val="center"/>
              <w:rPr>
                <w:lang w:val="en-GB"/>
              </w:rPr>
            </w:pPr>
            <w:r w:rsidRPr="00EB4B5A">
              <w:t xml:space="preserve">13 </w:t>
            </w:r>
            <w:proofErr w:type="spellStart"/>
            <w:r w:rsidRPr="00EB4B5A">
              <w:t>years</w:t>
            </w:r>
            <w:proofErr w:type="spellEnd"/>
            <w:r w:rsidRPr="00EB4B5A">
              <w:t xml:space="preserve"> </w:t>
            </w:r>
            <w:proofErr w:type="spellStart"/>
            <w:r w:rsidRPr="00EB4B5A">
              <w:t>or</w:t>
            </w:r>
            <w:proofErr w:type="spellEnd"/>
            <w:r w:rsidRPr="00EB4B5A">
              <w:t xml:space="preserve"> </w:t>
            </w:r>
            <w:proofErr w:type="spellStart"/>
            <w:r w:rsidRPr="00EB4B5A">
              <w:t>over</w:t>
            </w:r>
            <w:proofErr w:type="spellEnd"/>
          </w:p>
        </w:tc>
      </w:tr>
      <w:tr w:rsidR="00EB4B5A" w:rsidRPr="00EB4B5A" w14:paraId="106BEFAF" w14:textId="77777777" w:rsidTr="00365C12">
        <w:trPr>
          <w:jc w:val="center"/>
        </w:trPr>
        <w:tc>
          <w:tcPr>
            <w:tcW w:w="1374" w:type="dxa"/>
          </w:tcPr>
          <w:p w14:paraId="05E367C2" w14:textId="77777777" w:rsidR="00EB4B5A" w:rsidRPr="00EB4B5A" w:rsidRDefault="00EB4B5A" w:rsidP="00EB4B5A">
            <w:pPr>
              <w:spacing w:after="160" w:line="259" w:lineRule="auto"/>
              <w:jc w:val="center"/>
              <w:rPr>
                <w:lang w:val="en-GB"/>
              </w:rPr>
            </w:pPr>
          </w:p>
        </w:tc>
        <w:tc>
          <w:tcPr>
            <w:tcW w:w="1173" w:type="dxa"/>
          </w:tcPr>
          <w:p w14:paraId="00102F4F" w14:textId="77777777" w:rsidR="00EB4B5A" w:rsidRPr="00EB4B5A" w:rsidRDefault="00EB4B5A" w:rsidP="00EB4B5A">
            <w:pPr>
              <w:spacing w:after="160" w:line="259" w:lineRule="auto"/>
              <w:jc w:val="center"/>
            </w:pPr>
            <w:proofErr w:type="spellStart"/>
            <w:r w:rsidRPr="00EB4B5A">
              <w:t>Overall</w:t>
            </w:r>
            <w:proofErr w:type="spellEnd"/>
          </w:p>
        </w:tc>
        <w:tc>
          <w:tcPr>
            <w:tcW w:w="653" w:type="dxa"/>
          </w:tcPr>
          <w:p w14:paraId="07F39529"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6AE06DC" w14:textId="77777777" w:rsidR="00EB4B5A" w:rsidRPr="00EB4B5A" w:rsidRDefault="00EB4B5A" w:rsidP="00EB4B5A">
            <w:pPr>
              <w:jc w:val="center"/>
            </w:pPr>
            <w:r w:rsidRPr="00EB4B5A">
              <w:t>0.65 (0.63-0.68)</w:t>
            </w:r>
          </w:p>
        </w:tc>
        <w:tc>
          <w:tcPr>
            <w:tcW w:w="665" w:type="dxa"/>
          </w:tcPr>
          <w:p w14:paraId="7D49F98F" w14:textId="77777777" w:rsidR="00EB4B5A" w:rsidRPr="00EB4B5A" w:rsidRDefault="00EB4B5A" w:rsidP="00EB4B5A">
            <w:pPr>
              <w:jc w:val="center"/>
            </w:pPr>
            <w:r w:rsidRPr="00EB4B5A">
              <w:t>0.35 (0.33-0.37)</w:t>
            </w:r>
          </w:p>
        </w:tc>
        <w:tc>
          <w:tcPr>
            <w:tcW w:w="652" w:type="dxa"/>
          </w:tcPr>
          <w:p w14:paraId="19F7D033" w14:textId="77777777" w:rsidR="00EB4B5A" w:rsidRPr="00EB4B5A" w:rsidRDefault="00EB4B5A" w:rsidP="00EB4B5A">
            <w:pPr>
              <w:jc w:val="center"/>
            </w:pPr>
            <w:proofErr w:type="spellStart"/>
            <w:r w:rsidRPr="00EB4B5A">
              <w:t>ref</w:t>
            </w:r>
            <w:proofErr w:type="spellEnd"/>
          </w:p>
        </w:tc>
        <w:tc>
          <w:tcPr>
            <w:tcW w:w="665" w:type="dxa"/>
          </w:tcPr>
          <w:p w14:paraId="52FAE1B5" w14:textId="77777777" w:rsidR="00EB4B5A" w:rsidRPr="00EB4B5A" w:rsidRDefault="00EB4B5A" w:rsidP="00EB4B5A">
            <w:pPr>
              <w:jc w:val="center"/>
            </w:pPr>
            <w:r w:rsidRPr="00EB4B5A">
              <w:t>0.70 (0.67-0.72)</w:t>
            </w:r>
          </w:p>
        </w:tc>
        <w:tc>
          <w:tcPr>
            <w:tcW w:w="665" w:type="dxa"/>
          </w:tcPr>
          <w:p w14:paraId="7DB1CAE5" w14:textId="77777777" w:rsidR="00EB4B5A" w:rsidRPr="00EB4B5A" w:rsidRDefault="00EB4B5A" w:rsidP="00EB4B5A">
            <w:pPr>
              <w:jc w:val="center"/>
            </w:pPr>
            <w:r w:rsidRPr="00EB4B5A">
              <w:t>0.41 (0.39-0.43)</w:t>
            </w:r>
          </w:p>
        </w:tc>
        <w:tc>
          <w:tcPr>
            <w:tcW w:w="652" w:type="dxa"/>
          </w:tcPr>
          <w:p w14:paraId="28C1B3D8" w14:textId="77777777" w:rsidR="00EB4B5A" w:rsidRPr="00EB4B5A" w:rsidRDefault="00EB4B5A" w:rsidP="00EB4B5A">
            <w:pPr>
              <w:jc w:val="center"/>
            </w:pPr>
            <w:proofErr w:type="spellStart"/>
            <w:r w:rsidRPr="00EB4B5A">
              <w:t>ref</w:t>
            </w:r>
            <w:proofErr w:type="spellEnd"/>
          </w:p>
        </w:tc>
        <w:tc>
          <w:tcPr>
            <w:tcW w:w="665" w:type="dxa"/>
          </w:tcPr>
          <w:p w14:paraId="2A1D3AAA" w14:textId="77777777" w:rsidR="00EB4B5A" w:rsidRPr="00EB4B5A" w:rsidRDefault="00EB4B5A" w:rsidP="00EB4B5A">
            <w:pPr>
              <w:jc w:val="center"/>
            </w:pPr>
            <w:r w:rsidRPr="00EB4B5A">
              <w:t>0.89 (0.85-0.92)</w:t>
            </w:r>
          </w:p>
        </w:tc>
        <w:tc>
          <w:tcPr>
            <w:tcW w:w="955" w:type="dxa"/>
          </w:tcPr>
          <w:p w14:paraId="3E605364" w14:textId="77777777" w:rsidR="00EB4B5A" w:rsidRPr="00EB4B5A" w:rsidRDefault="00EB4B5A" w:rsidP="00EB4B5A">
            <w:pPr>
              <w:jc w:val="center"/>
            </w:pPr>
            <w:r w:rsidRPr="00EB4B5A">
              <w:t>0.91 (0.86-0.96)</w:t>
            </w:r>
          </w:p>
        </w:tc>
      </w:tr>
      <w:tr w:rsidR="00EB4B5A" w:rsidRPr="00EB4B5A" w14:paraId="702916F0" w14:textId="77777777" w:rsidTr="00365C12">
        <w:trPr>
          <w:jc w:val="center"/>
        </w:trPr>
        <w:tc>
          <w:tcPr>
            <w:tcW w:w="1374" w:type="dxa"/>
          </w:tcPr>
          <w:p w14:paraId="17D6C393" w14:textId="77777777" w:rsidR="00EB4B5A" w:rsidRPr="00EB4B5A" w:rsidRDefault="00EB4B5A" w:rsidP="00EB4B5A">
            <w:pPr>
              <w:spacing w:after="160" w:line="259" w:lineRule="auto"/>
              <w:jc w:val="center"/>
            </w:pPr>
            <w:proofErr w:type="spellStart"/>
            <w:r w:rsidRPr="00EB4B5A">
              <w:t>America</w:t>
            </w:r>
            <w:proofErr w:type="spellEnd"/>
            <w:r w:rsidRPr="00EB4B5A">
              <w:t xml:space="preserve"> A</w:t>
            </w:r>
          </w:p>
        </w:tc>
        <w:tc>
          <w:tcPr>
            <w:tcW w:w="1173" w:type="dxa"/>
          </w:tcPr>
          <w:p w14:paraId="25199E51" w14:textId="77777777" w:rsidR="00EB4B5A" w:rsidRPr="00EB4B5A" w:rsidRDefault="00EB4B5A" w:rsidP="00EB4B5A">
            <w:pPr>
              <w:spacing w:after="160" w:line="259" w:lineRule="auto"/>
              <w:jc w:val="center"/>
            </w:pPr>
            <w:proofErr w:type="spellStart"/>
            <w:r w:rsidRPr="00EB4B5A">
              <w:t>United</w:t>
            </w:r>
            <w:proofErr w:type="spellEnd"/>
            <w:r w:rsidRPr="00EB4B5A">
              <w:t xml:space="preserve"> States</w:t>
            </w:r>
          </w:p>
        </w:tc>
        <w:tc>
          <w:tcPr>
            <w:tcW w:w="653" w:type="dxa"/>
          </w:tcPr>
          <w:p w14:paraId="62DB60F1"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1522DD63" w14:textId="77777777" w:rsidR="00EB4B5A" w:rsidRPr="00EB4B5A" w:rsidRDefault="00EB4B5A" w:rsidP="00EB4B5A">
            <w:pPr>
              <w:jc w:val="center"/>
            </w:pPr>
            <w:r w:rsidRPr="00EB4B5A">
              <w:t>0.75 (0.63-0.89)</w:t>
            </w:r>
          </w:p>
        </w:tc>
        <w:tc>
          <w:tcPr>
            <w:tcW w:w="665" w:type="dxa"/>
          </w:tcPr>
          <w:p w14:paraId="7593DEA7" w14:textId="77777777" w:rsidR="00EB4B5A" w:rsidRPr="00EB4B5A" w:rsidRDefault="00EB4B5A" w:rsidP="00EB4B5A">
            <w:pPr>
              <w:jc w:val="center"/>
            </w:pPr>
            <w:r w:rsidRPr="00EB4B5A">
              <w:t>0.6 (0.42-0.84)</w:t>
            </w:r>
          </w:p>
        </w:tc>
        <w:tc>
          <w:tcPr>
            <w:tcW w:w="652" w:type="dxa"/>
          </w:tcPr>
          <w:p w14:paraId="44D195A4" w14:textId="77777777" w:rsidR="00EB4B5A" w:rsidRPr="00EB4B5A" w:rsidRDefault="00EB4B5A" w:rsidP="00EB4B5A">
            <w:pPr>
              <w:jc w:val="center"/>
            </w:pPr>
            <w:proofErr w:type="spellStart"/>
            <w:r w:rsidRPr="00EB4B5A">
              <w:t>ref</w:t>
            </w:r>
            <w:proofErr w:type="spellEnd"/>
          </w:p>
        </w:tc>
        <w:tc>
          <w:tcPr>
            <w:tcW w:w="665" w:type="dxa"/>
          </w:tcPr>
          <w:p w14:paraId="3766A0DA" w14:textId="77777777" w:rsidR="00EB4B5A" w:rsidRPr="00EB4B5A" w:rsidRDefault="00EB4B5A" w:rsidP="00EB4B5A">
            <w:pPr>
              <w:jc w:val="center"/>
            </w:pPr>
            <w:r w:rsidRPr="00EB4B5A">
              <w:t>0.71 (0.58-0.87)</w:t>
            </w:r>
          </w:p>
        </w:tc>
        <w:tc>
          <w:tcPr>
            <w:tcW w:w="665" w:type="dxa"/>
          </w:tcPr>
          <w:p w14:paraId="773590BA" w14:textId="77777777" w:rsidR="00EB4B5A" w:rsidRPr="00EB4B5A" w:rsidRDefault="00EB4B5A" w:rsidP="00EB4B5A">
            <w:pPr>
              <w:jc w:val="center"/>
            </w:pPr>
            <w:r w:rsidRPr="00EB4B5A">
              <w:t>0.5 (0.36-0.69)</w:t>
            </w:r>
          </w:p>
        </w:tc>
        <w:tc>
          <w:tcPr>
            <w:tcW w:w="652" w:type="dxa"/>
          </w:tcPr>
          <w:p w14:paraId="5CFE1EFD" w14:textId="77777777" w:rsidR="00EB4B5A" w:rsidRPr="00EB4B5A" w:rsidRDefault="00EB4B5A" w:rsidP="00EB4B5A">
            <w:pPr>
              <w:jc w:val="center"/>
            </w:pPr>
            <w:proofErr w:type="spellStart"/>
            <w:r w:rsidRPr="00EB4B5A">
              <w:t>ref</w:t>
            </w:r>
            <w:proofErr w:type="spellEnd"/>
          </w:p>
        </w:tc>
        <w:tc>
          <w:tcPr>
            <w:tcW w:w="665" w:type="dxa"/>
          </w:tcPr>
          <w:p w14:paraId="1BF7ADA6" w14:textId="77777777" w:rsidR="00EB4B5A" w:rsidRPr="00EB4B5A" w:rsidRDefault="00EB4B5A" w:rsidP="00EB4B5A">
            <w:pPr>
              <w:jc w:val="center"/>
            </w:pPr>
            <w:r w:rsidRPr="00EB4B5A">
              <w:t>0.97 (0.83-1.15)</w:t>
            </w:r>
          </w:p>
        </w:tc>
        <w:tc>
          <w:tcPr>
            <w:tcW w:w="955" w:type="dxa"/>
          </w:tcPr>
          <w:p w14:paraId="07CD75B3" w14:textId="77777777" w:rsidR="00EB4B5A" w:rsidRPr="00EB4B5A" w:rsidRDefault="00EB4B5A" w:rsidP="00EB4B5A">
            <w:pPr>
              <w:jc w:val="center"/>
            </w:pPr>
            <w:r w:rsidRPr="00EB4B5A">
              <w:t>0.95 (0.7-1.27)</w:t>
            </w:r>
          </w:p>
        </w:tc>
      </w:tr>
      <w:tr w:rsidR="00EB4B5A" w:rsidRPr="00EB4B5A" w14:paraId="5FC494FF" w14:textId="77777777" w:rsidTr="00365C12">
        <w:trPr>
          <w:jc w:val="center"/>
        </w:trPr>
        <w:tc>
          <w:tcPr>
            <w:tcW w:w="1374" w:type="dxa"/>
          </w:tcPr>
          <w:p w14:paraId="7361D6E4" w14:textId="77777777" w:rsidR="00EB4B5A" w:rsidRPr="00EB4B5A" w:rsidRDefault="00EB4B5A" w:rsidP="00EB4B5A">
            <w:pPr>
              <w:spacing w:after="160" w:line="259" w:lineRule="auto"/>
              <w:jc w:val="center"/>
            </w:pPr>
            <w:proofErr w:type="spellStart"/>
            <w:r w:rsidRPr="00EB4B5A">
              <w:t>America</w:t>
            </w:r>
            <w:proofErr w:type="spellEnd"/>
            <w:r w:rsidRPr="00EB4B5A">
              <w:t xml:space="preserve"> B/C</w:t>
            </w:r>
          </w:p>
        </w:tc>
        <w:tc>
          <w:tcPr>
            <w:tcW w:w="1173" w:type="dxa"/>
          </w:tcPr>
          <w:p w14:paraId="0B7DE3A4" w14:textId="77777777" w:rsidR="00EB4B5A" w:rsidRPr="00EB4B5A" w:rsidRDefault="00EB4B5A" w:rsidP="00EB4B5A">
            <w:pPr>
              <w:spacing w:after="160" w:line="259" w:lineRule="auto"/>
              <w:jc w:val="center"/>
            </w:pPr>
            <w:proofErr w:type="spellStart"/>
            <w:r w:rsidRPr="00EB4B5A">
              <w:t>Brazil</w:t>
            </w:r>
            <w:proofErr w:type="spellEnd"/>
          </w:p>
        </w:tc>
        <w:tc>
          <w:tcPr>
            <w:tcW w:w="653" w:type="dxa"/>
          </w:tcPr>
          <w:p w14:paraId="7792B2F6"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51E883E6" w14:textId="77777777" w:rsidR="00EB4B5A" w:rsidRPr="00EB4B5A" w:rsidRDefault="00EB4B5A" w:rsidP="00EB4B5A">
            <w:pPr>
              <w:jc w:val="center"/>
            </w:pPr>
            <w:r w:rsidRPr="00EB4B5A">
              <w:t>0.74 (0.66-0.84)</w:t>
            </w:r>
          </w:p>
        </w:tc>
        <w:tc>
          <w:tcPr>
            <w:tcW w:w="665" w:type="dxa"/>
          </w:tcPr>
          <w:p w14:paraId="6018E432" w14:textId="77777777" w:rsidR="00EB4B5A" w:rsidRPr="00EB4B5A" w:rsidRDefault="00EB4B5A" w:rsidP="00EB4B5A">
            <w:pPr>
              <w:jc w:val="center"/>
            </w:pPr>
            <w:r w:rsidRPr="00EB4B5A">
              <w:t>0.3 (0.26-0.35)</w:t>
            </w:r>
          </w:p>
        </w:tc>
        <w:tc>
          <w:tcPr>
            <w:tcW w:w="652" w:type="dxa"/>
          </w:tcPr>
          <w:p w14:paraId="35F7439B" w14:textId="77777777" w:rsidR="00EB4B5A" w:rsidRPr="00EB4B5A" w:rsidRDefault="00EB4B5A" w:rsidP="00EB4B5A">
            <w:pPr>
              <w:jc w:val="center"/>
            </w:pPr>
            <w:proofErr w:type="spellStart"/>
            <w:r w:rsidRPr="00EB4B5A">
              <w:t>ref</w:t>
            </w:r>
            <w:proofErr w:type="spellEnd"/>
          </w:p>
        </w:tc>
        <w:tc>
          <w:tcPr>
            <w:tcW w:w="665" w:type="dxa"/>
          </w:tcPr>
          <w:p w14:paraId="69E96B4C" w14:textId="77777777" w:rsidR="00EB4B5A" w:rsidRPr="00EB4B5A" w:rsidRDefault="00EB4B5A" w:rsidP="00EB4B5A">
            <w:pPr>
              <w:jc w:val="center"/>
            </w:pPr>
            <w:r w:rsidRPr="00EB4B5A">
              <w:t>0.67 (0.59-0.76)</w:t>
            </w:r>
          </w:p>
        </w:tc>
        <w:tc>
          <w:tcPr>
            <w:tcW w:w="665" w:type="dxa"/>
          </w:tcPr>
          <w:p w14:paraId="3AC62238" w14:textId="77777777" w:rsidR="00EB4B5A" w:rsidRPr="00EB4B5A" w:rsidRDefault="00EB4B5A" w:rsidP="00EB4B5A">
            <w:pPr>
              <w:jc w:val="center"/>
            </w:pPr>
            <w:r w:rsidRPr="00EB4B5A">
              <w:t>0.33 (0.28-0.38)</w:t>
            </w:r>
          </w:p>
        </w:tc>
        <w:tc>
          <w:tcPr>
            <w:tcW w:w="652" w:type="dxa"/>
          </w:tcPr>
          <w:p w14:paraId="5E1B8F7D" w14:textId="77777777" w:rsidR="00EB4B5A" w:rsidRPr="00EB4B5A" w:rsidRDefault="00EB4B5A" w:rsidP="00EB4B5A">
            <w:pPr>
              <w:jc w:val="center"/>
            </w:pPr>
            <w:proofErr w:type="spellStart"/>
            <w:r w:rsidRPr="00EB4B5A">
              <w:t>ref</w:t>
            </w:r>
            <w:proofErr w:type="spellEnd"/>
          </w:p>
        </w:tc>
        <w:tc>
          <w:tcPr>
            <w:tcW w:w="665" w:type="dxa"/>
          </w:tcPr>
          <w:p w14:paraId="625CA3BF" w14:textId="77777777" w:rsidR="00EB4B5A" w:rsidRPr="00EB4B5A" w:rsidRDefault="00EB4B5A" w:rsidP="00EB4B5A">
            <w:pPr>
              <w:jc w:val="center"/>
            </w:pPr>
            <w:r w:rsidRPr="00EB4B5A">
              <w:t>0.79 (0.68-0.92)</w:t>
            </w:r>
          </w:p>
        </w:tc>
        <w:tc>
          <w:tcPr>
            <w:tcW w:w="955" w:type="dxa"/>
          </w:tcPr>
          <w:p w14:paraId="1702C176" w14:textId="77777777" w:rsidR="00EB4B5A" w:rsidRPr="00EB4B5A" w:rsidRDefault="00EB4B5A" w:rsidP="00EB4B5A">
            <w:pPr>
              <w:jc w:val="center"/>
            </w:pPr>
            <w:r w:rsidRPr="00EB4B5A">
              <w:t>0.92 (0.74-1.13)</w:t>
            </w:r>
          </w:p>
        </w:tc>
      </w:tr>
      <w:tr w:rsidR="00EB4B5A" w:rsidRPr="00EB4B5A" w14:paraId="38BD3A8F" w14:textId="77777777" w:rsidTr="00365C12">
        <w:trPr>
          <w:jc w:val="center"/>
        </w:trPr>
        <w:tc>
          <w:tcPr>
            <w:tcW w:w="1374" w:type="dxa"/>
          </w:tcPr>
          <w:p w14:paraId="1394DF45" w14:textId="77777777" w:rsidR="00EB4B5A" w:rsidRPr="00EB4B5A" w:rsidRDefault="00EB4B5A" w:rsidP="00EB4B5A">
            <w:pPr>
              <w:spacing w:after="160" w:line="259" w:lineRule="auto"/>
              <w:jc w:val="center"/>
            </w:pPr>
          </w:p>
        </w:tc>
        <w:tc>
          <w:tcPr>
            <w:tcW w:w="1173" w:type="dxa"/>
          </w:tcPr>
          <w:p w14:paraId="51460B5E" w14:textId="77777777" w:rsidR="00EB4B5A" w:rsidRPr="00EB4B5A" w:rsidRDefault="00EB4B5A" w:rsidP="00EB4B5A">
            <w:pPr>
              <w:spacing w:after="160" w:line="259" w:lineRule="auto"/>
              <w:jc w:val="center"/>
            </w:pPr>
            <w:r w:rsidRPr="00EB4B5A">
              <w:t>Chile</w:t>
            </w:r>
          </w:p>
        </w:tc>
        <w:tc>
          <w:tcPr>
            <w:tcW w:w="653" w:type="dxa"/>
          </w:tcPr>
          <w:p w14:paraId="072F02EC"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18FCF2F" w14:textId="77777777" w:rsidR="00EB4B5A" w:rsidRPr="00EB4B5A" w:rsidRDefault="00EB4B5A" w:rsidP="00EB4B5A">
            <w:pPr>
              <w:jc w:val="center"/>
            </w:pPr>
            <w:r w:rsidRPr="00EB4B5A">
              <w:t>0.72 (0.63-0.83)</w:t>
            </w:r>
          </w:p>
        </w:tc>
        <w:tc>
          <w:tcPr>
            <w:tcW w:w="665" w:type="dxa"/>
          </w:tcPr>
          <w:p w14:paraId="750C016F" w14:textId="77777777" w:rsidR="00EB4B5A" w:rsidRPr="00EB4B5A" w:rsidRDefault="00EB4B5A" w:rsidP="00EB4B5A">
            <w:pPr>
              <w:jc w:val="center"/>
            </w:pPr>
            <w:r w:rsidRPr="00EB4B5A">
              <w:t>0.49 (0.39-0.61)</w:t>
            </w:r>
          </w:p>
        </w:tc>
        <w:tc>
          <w:tcPr>
            <w:tcW w:w="652" w:type="dxa"/>
          </w:tcPr>
          <w:p w14:paraId="689FE47A" w14:textId="77777777" w:rsidR="00EB4B5A" w:rsidRPr="00EB4B5A" w:rsidRDefault="00EB4B5A" w:rsidP="00EB4B5A">
            <w:pPr>
              <w:jc w:val="center"/>
            </w:pPr>
            <w:proofErr w:type="spellStart"/>
            <w:r w:rsidRPr="00EB4B5A">
              <w:t>ref</w:t>
            </w:r>
            <w:proofErr w:type="spellEnd"/>
          </w:p>
        </w:tc>
        <w:tc>
          <w:tcPr>
            <w:tcW w:w="665" w:type="dxa"/>
          </w:tcPr>
          <w:p w14:paraId="590CFE8D" w14:textId="77777777" w:rsidR="00EB4B5A" w:rsidRPr="00EB4B5A" w:rsidRDefault="00EB4B5A" w:rsidP="00EB4B5A">
            <w:pPr>
              <w:jc w:val="center"/>
            </w:pPr>
            <w:r w:rsidRPr="00EB4B5A">
              <w:t>0.71 (0.6-0.85)</w:t>
            </w:r>
          </w:p>
        </w:tc>
        <w:tc>
          <w:tcPr>
            <w:tcW w:w="665" w:type="dxa"/>
          </w:tcPr>
          <w:p w14:paraId="628E4615" w14:textId="77777777" w:rsidR="00EB4B5A" w:rsidRPr="00EB4B5A" w:rsidRDefault="00EB4B5A" w:rsidP="00EB4B5A">
            <w:pPr>
              <w:jc w:val="center"/>
            </w:pPr>
            <w:r w:rsidRPr="00EB4B5A">
              <w:t>0.39 (0.31-0.5)</w:t>
            </w:r>
          </w:p>
        </w:tc>
        <w:tc>
          <w:tcPr>
            <w:tcW w:w="652" w:type="dxa"/>
          </w:tcPr>
          <w:p w14:paraId="07236BD3" w14:textId="77777777" w:rsidR="00EB4B5A" w:rsidRPr="00EB4B5A" w:rsidRDefault="00EB4B5A" w:rsidP="00EB4B5A">
            <w:pPr>
              <w:jc w:val="center"/>
            </w:pPr>
            <w:proofErr w:type="spellStart"/>
            <w:r w:rsidRPr="00EB4B5A">
              <w:t>ref</w:t>
            </w:r>
            <w:proofErr w:type="spellEnd"/>
          </w:p>
        </w:tc>
        <w:tc>
          <w:tcPr>
            <w:tcW w:w="665" w:type="dxa"/>
          </w:tcPr>
          <w:p w14:paraId="74EC291C" w14:textId="77777777" w:rsidR="00EB4B5A" w:rsidRPr="00EB4B5A" w:rsidRDefault="00EB4B5A" w:rsidP="00EB4B5A">
            <w:pPr>
              <w:jc w:val="center"/>
            </w:pPr>
            <w:r w:rsidRPr="00EB4B5A">
              <w:t>0.91 (0.8-1.04)</w:t>
            </w:r>
          </w:p>
        </w:tc>
        <w:tc>
          <w:tcPr>
            <w:tcW w:w="955" w:type="dxa"/>
          </w:tcPr>
          <w:p w14:paraId="22F1FE80" w14:textId="77777777" w:rsidR="00EB4B5A" w:rsidRPr="00EB4B5A" w:rsidRDefault="00EB4B5A" w:rsidP="00EB4B5A">
            <w:pPr>
              <w:jc w:val="center"/>
            </w:pPr>
            <w:r w:rsidRPr="00EB4B5A">
              <w:t>0.78 (0.62-0.98)</w:t>
            </w:r>
          </w:p>
        </w:tc>
      </w:tr>
      <w:tr w:rsidR="00EB4B5A" w:rsidRPr="00EB4B5A" w14:paraId="3DF0BF5C" w14:textId="77777777" w:rsidTr="00365C12">
        <w:trPr>
          <w:jc w:val="center"/>
        </w:trPr>
        <w:tc>
          <w:tcPr>
            <w:tcW w:w="1374" w:type="dxa"/>
          </w:tcPr>
          <w:p w14:paraId="4E7C536B" w14:textId="77777777" w:rsidR="00EB4B5A" w:rsidRPr="00EB4B5A" w:rsidRDefault="00EB4B5A" w:rsidP="00EB4B5A">
            <w:pPr>
              <w:spacing w:after="160" w:line="259" w:lineRule="auto"/>
              <w:jc w:val="center"/>
            </w:pPr>
          </w:p>
        </w:tc>
        <w:tc>
          <w:tcPr>
            <w:tcW w:w="1173" w:type="dxa"/>
          </w:tcPr>
          <w:p w14:paraId="1299170D" w14:textId="77777777" w:rsidR="00EB4B5A" w:rsidRPr="00EB4B5A" w:rsidRDefault="00EB4B5A" w:rsidP="00EB4B5A">
            <w:pPr>
              <w:spacing w:after="160" w:line="259" w:lineRule="auto"/>
              <w:jc w:val="center"/>
            </w:pPr>
            <w:r w:rsidRPr="00EB4B5A">
              <w:t>Costa Rica</w:t>
            </w:r>
          </w:p>
        </w:tc>
        <w:tc>
          <w:tcPr>
            <w:tcW w:w="653" w:type="dxa"/>
          </w:tcPr>
          <w:p w14:paraId="161605C6"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65E82B4F" w14:textId="77777777" w:rsidR="00EB4B5A" w:rsidRPr="00EB4B5A" w:rsidRDefault="00EB4B5A" w:rsidP="00EB4B5A">
            <w:pPr>
              <w:jc w:val="center"/>
            </w:pPr>
            <w:r w:rsidRPr="00EB4B5A">
              <w:t>0.71 (0.63-0.81)</w:t>
            </w:r>
          </w:p>
        </w:tc>
        <w:tc>
          <w:tcPr>
            <w:tcW w:w="665" w:type="dxa"/>
          </w:tcPr>
          <w:p w14:paraId="16D26040" w14:textId="77777777" w:rsidR="00EB4B5A" w:rsidRPr="00EB4B5A" w:rsidRDefault="00EB4B5A" w:rsidP="00EB4B5A">
            <w:pPr>
              <w:jc w:val="center"/>
            </w:pPr>
            <w:r w:rsidRPr="00EB4B5A">
              <w:t>0.37 (0.31-0.44)</w:t>
            </w:r>
          </w:p>
        </w:tc>
        <w:tc>
          <w:tcPr>
            <w:tcW w:w="652" w:type="dxa"/>
          </w:tcPr>
          <w:p w14:paraId="1FC335F8" w14:textId="77777777" w:rsidR="00EB4B5A" w:rsidRPr="00EB4B5A" w:rsidRDefault="00EB4B5A" w:rsidP="00EB4B5A">
            <w:pPr>
              <w:jc w:val="center"/>
            </w:pPr>
            <w:proofErr w:type="spellStart"/>
            <w:r w:rsidRPr="00EB4B5A">
              <w:t>ref</w:t>
            </w:r>
            <w:proofErr w:type="spellEnd"/>
          </w:p>
        </w:tc>
        <w:tc>
          <w:tcPr>
            <w:tcW w:w="665" w:type="dxa"/>
          </w:tcPr>
          <w:p w14:paraId="1EFA1FD8" w14:textId="77777777" w:rsidR="00EB4B5A" w:rsidRPr="00EB4B5A" w:rsidRDefault="00EB4B5A" w:rsidP="00EB4B5A">
            <w:pPr>
              <w:jc w:val="center"/>
            </w:pPr>
            <w:r w:rsidRPr="00EB4B5A">
              <w:t>0.67 (0.59-0.76)</w:t>
            </w:r>
          </w:p>
        </w:tc>
        <w:tc>
          <w:tcPr>
            <w:tcW w:w="665" w:type="dxa"/>
          </w:tcPr>
          <w:p w14:paraId="7CA47682" w14:textId="77777777" w:rsidR="00EB4B5A" w:rsidRPr="00EB4B5A" w:rsidRDefault="00EB4B5A" w:rsidP="00EB4B5A">
            <w:pPr>
              <w:jc w:val="center"/>
            </w:pPr>
            <w:r w:rsidRPr="00EB4B5A">
              <w:t>0.36 (0.3-0.43)</w:t>
            </w:r>
          </w:p>
        </w:tc>
        <w:tc>
          <w:tcPr>
            <w:tcW w:w="652" w:type="dxa"/>
          </w:tcPr>
          <w:p w14:paraId="4C635FA6" w14:textId="77777777" w:rsidR="00EB4B5A" w:rsidRPr="00EB4B5A" w:rsidRDefault="00EB4B5A" w:rsidP="00EB4B5A">
            <w:pPr>
              <w:jc w:val="center"/>
            </w:pPr>
            <w:proofErr w:type="spellStart"/>
            <w:r w:rsidRPr="00EB4B5A">
              <w:t>ref</w:t>
            </w:r>
            <w:proofErr w:type="spellEnd"/>
          </w:p>
        </w:tc>
        <w:tc>
          <w:tcPr>
            <w:tcW w:w="665" w:type="dxa"/>
          </w:tcPr>
          <w:p w14:paraId="1B59380D" w14:textId="77777777" w:rsidR="00EB4B5A" w:rsidRPr="00EB4B5A" w:rsidRDefault="00EB4B5A" w:rsidP="00EB4B5A">
            <w:pPr>
              <w:jc w:val="center"/>
            </w:pPr>
            <w:r w:rsidRPr="00EB4B5A">
              <w:t>0.66 (0.57-0.75)</w:t>
            </w:r>
          </w:p>
        </w:tc>
        <w:tc>
          <w:tcPr>
            <w:tcW w:w="955" w:type="dxa"/>
          </w:tcPr>
          <w:p w14:paraId="48C80EE8" w14:textId="77777777" w:rsidR="00EB4B5A" w:rsidRPr="00EB4B5A" w:rsidRDefault="00EB4B5A" w:rsidP="00EB4B5A">
            <w:pPr>
              <w:jc w:val="center"/>
            </w:pPr>
            <w:r w:rsidRPr="00EB4B5A">
              <w:t>0.53 (0.42-0.67)</w:t>
            </w:r>
          </w:p>
        </w:tc>
      </w:tr>
      <w:tr w:rsidR="00EB4B5A" w:rsidRPr="00EB4B5A" w14:paraId="74BCD759" w14:textId="77777777" w:rsidTr="00365C12">
        <w:trPr>
          <w:jc w:val="center"/>
        </w:trPr>
        <w:tc>
          <w:tcPr>
            <w:tcW w:w="1374" w:type="dxa"/>
          </w:tcPr>
          <w:p w14:paraId="57EA0789" w14:textId="77777777" w:rsidR="00EB4B5A" w:rsidRPr="00EB4B5A" w:rsidRDefault="00EB4B5A" w:rsidP="00EB4B5A">
            <w:pPr>
              <w:spacing w:after="160" w:line="259" w:lineRule="auto"/>
              <w:jc w:val="center"/>
            </w:pPr>
          </w:p>
        </w:tc>
        <w:tc>
          <w:tcPr>
            <w:tcW w:w="1173" w:type="dxa"/>
          </w:tcPr>
          <w:p w14:paraId="482FE7D0" w14:textId="77777777" w:rsidR="00EB4B5A" w:rsidRPr="00EB4B5A" w:rsidRDefault="00EB4B5A" w:rsidP="00EB4B5A">
            <w:pPr>
              <w:spacing w:after="160" w:line="259" w:lineRule="auto"/>
              <w:jc w:val="center"/>
            </w:pPr>
            <w:proofErr w:type="spellStart"/>
            <w:r w:rsidRPr="00EB4B5A">
              <w:t>Dominican</w:t>
            </w:r>
            <w:proofErr w:type="spellEnd"/>
            <w:r w:rsidRPr="00EB4B5A">
              <w:t xml:space="preserve"> </w:t>
            </w:r>
            <w:proofErr w:type="spellStart"/>
            <w:r w:rsidRPr="00EB4B5A">
              <w:t>Republic</w:t>
            </w:r>
            <w:proofErr w:type="spellEnd"/>
          </w:p>
        </w:tc>
        <w:tc>
          <w:tcPr>
            <w:tcW w:w="653" w:type="dxa"/>
          </w:tcPr>
          <w:p w14:paraId="70DCF69E"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67EE065B" w14:textId="77777777" w:rsidR="00EB4B5A" w:rsidRPr="00EB4B5A" w:rsidRDefault="00EB4B5A" w:rsidP="00EB4B5A">
            <w:pPr>
              <w:jc w:val="center"/>
            </w:pPr>
            <w:r w:rsidRPr="00EB4B5A">
              <w:t>0.83 (0.69-0.99)</w:t>
            </w:r>
          </w:p>
        </w:tc>
        <w:tc>
          <w:tcPr>
            <w:tcW w:w="665" w:type="dxa"/>
          </w:tcPr>
          <w:p w14:paraId="3176ADBF" w14:textId="77777777" w:rsidR="00EB4B5A" w:rsidRPr="00EB4B5A" w:rsidRDefault="00EB4B5A" w:rsidP="00EB4B5A">
            <w:pPr>
              <w:jc w:val="center"/>
            </w:pPr>
            <w:r w:rsidRPr="00EB4B5A">
              <w:t>0.41 (0.34-0.49)</w:t>
            </w:r>
          </w:p>
        </w:tc>
        <w:tc>
          <w:tcPr>
            <w:tcW w:w="652" w:type="dxa"/>
          </w:tcPr>
          <w:p w14:paraId="30F44650" w14:textId="77777777" w:rsidR="00EB4B5A" w:rsidRPr="00EB4B5A" w:rsidRDefault="00EB4B5A" w:rsidP="00EB4B5A">
            <w:pPr>
              <w:jc w:val="center"/>
            </w:pPr>
            <w:proofErr w:type="spellStart"/>
            <w:r w:rsidRPr="00EB4B5A">
              <w:t>ref</w:t>
            </w:r>
            <w:proofErr w:type="spellEnd"/>
          </w:p>
        </w:tc>
        <w:tc>
          <w:tcPr>
            <w:tcW w:w="665" w:type="dxa"/>
          </w:tcPr>
          <w:p w14:paraId="263A414F" w14:textId="77777777" w:rsidR="00EB4B5A" w:rsidRPr="00EB4B5A" w:rsidRDefault="00EB4B5A" w:rsidP="00EB4B5A">
            <w:pPr>
              <w:jc w:val="center"/>
            </w:pPr>
            <w:r w:rsidRPr="00EB4B5A">
              <w:t>0.84 (0.7-1)</w:t>
            </w:r>
          </w:p>
        </w:tc>
        <w:tc>
          <w:tcPr>
            <w:tcW w:w="665" w:type="dxa"/>
          </w:tcPr>
          <w:p w14:paraId="23E829CD" w14:textId="77777777" w:rsidR="00EB4B5A" w:rsidRPr="00EB4B5A" w:rsidRDefault="00EB4B5A" w:rsidP="00EB4B5A">
            <w:pPr>
              <w:jc w:val="center"/>
            </w:pPr>
            <w:r w:rsidRPr="00EB4B5A">
              <w:t>0.47 (0.39-0.57)</w:t>
            </w:r>
          </w:p>
        </w:tc>
        <w:tc>
          <w:tcPr>
            <w:tcW w:w="652" w:type="dxa"/>
          </w:tcPr>
          <w:p w14:paraId="1C98567F" w14:textId="77777777" w:rsidR="00EB4B5A" w:rsidRPr="00EB4B5A" w:rsidRDefault="00EB4B5A" w:rsidP="00EB4B5A">
            <w:pPr>
              <w:jc w:val="center"/>
            </w:pPr>
            <w:proofErr w:type="spellStart"/>
            <w:r w:rsidRPr="00EB4B5A">
              <w:t>ref</w:t>
            </w:r>
            <w:proofErr w:type="spellEnd"/>
          </w:p>
        </w:tc>
        <w:tc>
          <w:tcPr>
            <w:tcW w:w="665" w:type="dxa"/>
          </w:tcPr>
          <w:p w14:paraId="1B3B0262" w14:textId="77777777" w:rsidR="00EB4B5A" w:rsidRPr="00EB4B5A" w:rsidRDefault="00EB4B5A" w:rsidP="00EB4B5A">
            <w:pPr>
              <w:jc w:val="center"/>
            </w:pPr>
            <w:r w:rsidRPr="00EB4B5A">
              <w:t>0.84 (0.67-1.06)</w:t>
            </w:r>
          </w:p>
        </w:tc>
        <w:tc>
          <w:tcPr>
            <w:tcW w:w="955" w:type="dxa"/>
          </w:tcPr>
          <w:p w14:paraId="41D71E93" w14:textId="77777777" w:rsidR="00EB4B5A" w:rsidRPr="00EB4B5A" w:rsidRDefault="00EB4B5A" w:rsidP="00EB4B5A">
            <w:pPr>
              <w:jc w:val="center"/>
            </w:pPr>
            <w:r w:rsidRPr="00EB4B5A">
              <w:t>0.79 (0.61-1.01)</w:t>
            </w:r>
          </w:p>
        </w:tc>
      </w:tr>
      <w:tr w:rsidR="00EB4B5A" w:rsidRPr="00EB4B5A" w14:paraId="43425EB4" w14:textId="77777777" w:rsidTr="00365C12">
        <w:trPr>
          <w:jc w:val="center"/>
        </w:trPr>
        <w:tc>
          <w:tcPr>
            <w:tcW w:w="1374" w:type="dxa"/>
          </w:tcPr>
          <w:p w14:paraId="0B9E6B65" w14:textId="77777777" w:rsidR="00EB4B5A" w:rsidRPr="00EB4B5A" w:rsidRDefault="00EB4B5A" w:rsidP="00EB4B5A">
            <w:pPr>
              <w:spacing w:after="160" w:line="259" w:lineRule="auto"/>
              <w:jc w:val="center"/>
            </w:pPr>
          </w:p>
        </w:tc>
        <w:tc>
          <w:tcPr>
            <w:tcW w:w="1173" w:type="dxa"/>
          </w:tcPr>
          <w:p w14:paraId="578AB11F" w14:textId="77777777" w:rsidR="00EB4B5A" w:rsidRPr="00EB4B5A" w:rsidRDefault="00EB4B5A" w:rsidP="00EB4B5A">
            <w:pPr>
              <w:spacing w:after="160" w:line="259" w:lineRule="auto"/>
              <w:jc w:val="center"/>
            </w:pPr>
            <w:proofErr w:type="spellStart"/>
            <w:r w:rsidRPr="00EB4B5A">
              <w:t>Mexico</w:t>
            </w:r>
            <w:proofErr w:type="spellEnd"/>
          </w:p>
        </w:tc>
        <w:tc>
          <w:tcPr>
            <w:tcW w:w="653" w:type="dxa"/>
          </w:tcPr>
          <w:p w14:paraId="7EB9CB46"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8B8348A" w14:textId="77777777" w:rsidR="00EB4B5A" w:rsidRPr="00EB4B5A" w:rsidRDefault="00EB4B5A" w:rsidP="00EB4B5A">
            <w:pPr>
              <w:jc w:val="center"/>
            </w:pPr>
            <w:r w:rsidRPr="00EB4B5A">
              <w:t>0.64 (0.56-0.72)</w:t>
            </w:r>
          </w:p>
        </w:tc>
        <w:tc>
          <w:tcPr>
            <w:tcW w:w="665" w:type="dxa"/>
          </w:tcPr>
          <w:p w14:paraId="0DC47292" w14:textId="77777777" w:rsidR="00EB4B5A" w:rsidRPr="00EB4B5A" w:rsidRDefault="00EB4B5A" w:rsidP="00EB4B5A">
            <w:pPr>
              <w:jc w:val="center"/>
            </w:pPr>
            <w:r w:rsidRPr="00EB4B5A">
              <w:t>0.32 (0.27-0.39)</w:t>
            </w:r>
          </w:p>
        </w:tc>
        <w:tc>
          <w:tcPr>
            <w:tcW w:w="652" w:type="dxa"/>
          </w:tcPr>
          <w:p w14:paraId="446BF5C0" w14:textId="77777777" w:rsidR="00EB4B5A" w:rsidRPr="00EB4B5A" w:rsidRDefault="00EB4B5A" w:rsidP="00EB4B5A">
            <w:pPr>
              <w:jc w:val="center"/>
            </w:pPr>
            <w:proofErr w:type="spellStart"/>
            <w:r w:rsidRPr="00EB4B5A">
              <w:t>ref</w:t>
            </w:r>
            <w:proofErr w:type="spellEnd"/>
          </w:p>
        </w:tc>
        <w:tc>
          <w:tcPr>
            <w:tcW w:w="665" w:type="dxa"/>
          </w:tcPr>
          <w:p w14:paraId="7CBF8EC1" w14:textId="77777777" w:rsidR="00EB4B5A" w:rsidRPr="00EB4B5A" w:rsidRDefault="00EB4B5A" w:rsidP="00EB4B5A">
            <w:pPr>
              <w:jc w:val="center"/>
            </w:pPr>
            <w:r w:rsidRPr="00EB4B5A">
              <w:t>0.67 (0.58-0.76)</w:t>
            </w:r>
          </w:p>
        </w:tc>
        <w:tc>
          <w:tcPr>
            <w:tcW w:w="665" w:type="dxa"/>
          </w:tcPr>
          <w:p w14:paraId="5BD4714E" w14:textId="77777777" w:rsidR="00EB4B5A" w:rsidRPr="00EB4B5A" w:rsidRDefault="00EB4B5A" w:rsidP="00EB4B5A">
            <w:pPr>
              <w:jc w:val="center"/>
            </w:pPr>
            <w:r w:rsidRPr="00EB4B5A">
              <w:t>0.32 (0.27-0.38)</w:t>
            </w:r>
          </w:p>
        </w:tc>
        <w:tc>
          <w:tcPr>
            <w:tcW w:w="652" w:type="dxa"/>
          </w:tcPr>
          <w:p w14:paraId="000BAC75" w14:textId="77777777" w:rsidR="00EB4B5A" w:rsidRPr="00EB4B5A" w:rsidRDefault="00EB4B5A" w:rsidP="00EB4B5A">
            <w:pPr>
              <w:jc w:val="center"/>
            </w:pPr>
            <w:proofErr w:type="spellStart"/>
            <w:r w:rsidRPr="00EB4B5A">
              <w:t>ref</w:t>
            </w:r>
            <w:proofErr w:type="spellEnd"/>
          </w:p>
        </w:tc>
        <w:tc>
          <w:tcPr>
            <w:tcW w:w="665" w:type="dxa"/>
          </w:tcPr>
          <w:p w14:paraId="5AE3C64A" w14:textId="77777777" w:rsidR="00EB4B5A" w:rsidRPr="00EB4B5A" w:rsidRDefault="00EB4B5A" w:rsidP="00EB4B5A">
            <w:pPr>
              <w:jc w:val="center"/>
            </w:pPr>
            <w:r w:rsidRPr="00EB4B5A">
              <w:t>0.84 (0.71-0.99)</w:t>
            </w:r>
          </w:p>
        </w:tc>
        <w:tc>
          <w:tcPr>
            <w:tcW w:w="955" w:type="dxa"/>
          </w:tcPr>
          <w:p w14:paraId="6F3AF127" w14:textId="77777777" w:rsidR="00EB4B5A" w:rsidRPr="00EB4B5A" w:rsidRDefault="00EB4B5A" w:rsidP="00EB4B5A">
            <w:pPr>
              <w:jc w:val="center"/>
            </w:pPr>
            <w:r w:rsidRPr="00EB4B5A">
              <w:t>0.66 (0.53-0.82)</w:t>
            </w:r>
          </w:p>
        </w:tc>
      </w:tr>
      <w:tr w:rsidR="00EB4B5A" w:rsidRPr="00EB4B5A" w14:paraId="4A568CF6" w14:textId="77777777" w:rsidTr="00365C12">
        <w:trPr>
          <w:jc w:val="center"/>
        </w:trPr>
        <w:tc>
          <w:tcPr>
            <w:tcW w:w="1374" w:type="dxa"/>
          </w:tcPr>
          <w:p w14:paraId="6437EAD7" w14:textId="77777777" w:rsidR="00EB4B5A" w:rsidRPr="00EB4B5A" w:rsidRDefault="00EB4B5A" w:rsidP="00EB4B5A">
            <w:pPr>
              <w:spacing w:after="160" w:line="259" w:lineRule="auto"/>
              <w:jc w:val="center"/>
            </w:pPr>
          </w:p>
        </w:tc>
        <w:tc>
          <w:tcPr>
            <w:tcW w:w="1173" w:type="dxa"/>
          </w:tcPr>
          <w:p w14:paraId="503936EF" w14:textId="77777777" w:rsidR="00EB4B5A" w:rsidRPr="00EB4B5A" w:rsidRDefault="00EB4B5A" w:rsidP="00EB4B5A">
            <w:pPr>
              <w:spacing w:after="160" w:line="259" w:lineRule="auto"/>
              <w:jc w:val="center"/>
            </w:pPr>
            <w:proofErr w:type="spellStart"/>
            <w:r w:rsidRPr="00EB4B5A">
              <w:t>Panama</w:t>
            </w:r>
            <w:proofErr w:type="spellEnd"/>
          </w:p>
        </w:tc>
        <w:tc>
          <w:tcPr>
            <w:tcW w:w="653" w:type="dxa"/>
          </w:tcPr>
          <w:p w14:paraId="3DFD6031"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C600AD2" w14:textId="77777777" w:rsidR="00EB4B5A" w:rsidRPr="00EB4B5A" w:rsidRDefault="00EB4B5A" w:rsidP="00EB4B5A">
            <w:pPr>
              <w:jc w:val="center"/>
            </w:pPr>
            <w:r w:rsidRPr="00EB4B5A">
              <w:t>0.7 (0.6-0.81)</w:t>
            </w:r>
          </w:p>
        </w:tc>
        <w:tc>
          <w:tcPr>
            <w:tcW w:w="665" w:type="dxa"/>
          </w:tcPr>
          <w:p w14:paraId="4B8BFE05" w14:textId="77777777" w:rsidR="00EB4B5A" w:rsidRPr="00EB4B5A" w:rsidRDefault="00EB4B5A" w:rsidP="00EB4B5A">
            <w:pPr>
              <w:jc w:val="center"/>
            </w:pPr>
            <w:r w:rsidRPr="00EB4B5A">
              <w:t>0.37 (0.31-0.44)</w:t>
            </w:r>
          </w:p>
        </w:tc>
        <w:tc>
          <w:tcPr>
            <w:tcW w:w="652" w:type="dxa"/>
          </w:tcPr>
          <w:p w14:paraId="549CD697" w14:textId="77777777" w:rsidR="00EB4B5A" w:rsidRPr="00EB4B5A" w:rsidRDefault="00EB4B5A" w:rsidP="00EB4B5A">
            <w:pPr>
              <w:jc w:val="center"/>
            </w:pPr>
            <w:proofErr w:type="spellStart"/>
            <w:r w:rsidRPr="00EB4B5A">
              <w:t>ref</w:t>
            </w:r>
            <w:proofErr w:type="spellEnd"/>
          </w:p>
        </w:tc>
        <w:tc>
          <w:tcPr>
            <w:tcW w:w="665" w:type="dxa"/>
          </w:tcPr>
          <w:p w14:paraId="1FE1315B" w14:textId="77777777" w:rsidR="00EB4B5A" w:rsidRPr="00EB4B5A" w:rsidRDefault="00EB4B5A" w:rsidP="00EB4B5A">
            <w:pPr>
              <w:jc w:val="center"/>
            </w:pPr>
            <w:r w:rsidRPr="00EB4B5A">
              <w:t>0.76 (0.65-0.89)</w:t>
            </w:r>
          </w:p>
        </w:tc>
        <w:tc>
          <w:tcPr>
            <w:tcW w:w="665" w:type="dxa"/>
          </w:tcPr>
          <w:p w14:paraId="1D2F2303" w14:textId="77777777" w:rsidR="00EB4B5A" w:rsidRPr="00EB4B5A" w:rsidRDefault="00EB4B5A" w:rsidP="00EB4B5A">
            <w:pPr>
              <w:jc w:val="center"/>
            </w:pPr>
            <w:r w:rsidRPr="00EB4B5A">
              <w:t>0.42 (0.36-0.5)</w:t>
            </w:r>
          </w:p>
        </w:tc>
        <w:tc>
          <w:tcPr>
            <w:tcW w:w="652" w:type="dxa"/>
          </w:tcPr>
          <w:p w14:paraId="345EF159" w14:textId="77777777" w:rsidR="00EB4B5A" w:rsidRPr="00EB4B5A" w:rsidRDefault="00EB4B5A" w:rsidP="00EB4B5A">
            <w:pPr>
              <w:jc w:val="center"/>
            </w:pPr>
            <w:proofErr w:type="spellStart"/>
            <w:r w:rsidRPr="00EB4B5A">
              <w:t>ref</w:t>
            </w:r>
            <w:proofErr w:type="spellEnd"/>
          </w:p>
        </w:tc>
        <w:tc>
          <w:tcPr>
            <w:tcW w:w="665" w:type="dxa"/>
          </w:tcPr>
          <w:p w14:paraId="395DB335" w14:textId="77777777" w:rsidR="00EB4B5A" w:rsidRPr="00EB4B5A" w:rsidRDefault="00EB4B5A" w:rsidP="00EB4B5A">
            <w:pPr>
              <w:jc w:val="center"/>
            </w:pPr>
            <w:r w:rsidRPr="00EB4B5A">
              <w:t>1.05 (0.83-1.32)</w:t>
            </w:r>
          </w:p>
        </w:tc>
        <w:tc>
          <w:tcPr>
            <w:tcW w:w="955" w:type="dxa"/>
          </w:tcPr>
          <w:p w14:paraId="5AB0C3DB" w14:textId="77777777" w:rsidR="00EB4B5A" w:rsidRPr="00EB4B5A" w:rsidRDefault="00EB4B5A" w:rsidP="00EB4B5A">
            <w:pPr>
              <w:jc w:val="center"/>
            </w:pPr>
            <w:r w:rsidRPr="00EB4B5A">
              <w:t>1.07 (0.82-1.42)</w:t>
            </w:r>
          </w:p>
        </w:tc>
      </w:tr>
      <w:tr w:rsidR="00EB4B5A" w:rsidRPr="00EB4B5A" w14:paraId="26419EC0" w14:textId="77777777" w:rsidTr="00365C12">
        <w:trPr>
          <w:jc w:val="center"/>
        </w:trPr>
        <w:tc>
          <w:tcPr>
            <w:tcW w:w="1374" w:type="dxa"/>
          </w:tcPr>
          <w:p w14:paraId="756AA27D" w14:textId="77777777" w:rsidR="00EB4B5A" w:rsidRPr="00EB4B5A" w:rsidRDefault="00EB4B5A" w:rsidP="00EB4B5A">
            <w:pPr>
              <w:spacing w:after="160" w:line="259" w:lineRule="auto"/>
              <w:jc w:val="center"/>
            </w:pPr>
          </w:p>
        </w:tc>
        <w:tc>
          <w:tcPr>
            <w:tcW w:w="1173" w:type="dxa"/>
          </w:tcPr>
          <w:p w14:paraId="16E88F8C" w14:textId="77777777" w:rsidR="00EB4B5A" w:rsidRPr="00EB4B5A" w:rsidRDefault="00EB4B5A" w:rsidP="00EB4B5A">
            <w:pPr>
              <w:spacing w:after="160" w:line="259" w:lineRule="auto"/>
              <w:jc w:val="center"/>
            </w:pPr>
            <w:r w:rsidRPr="00EB4B5A">
              <w:t>Uruguay</w:t>
            </w:r>
          </w:p>
        </w:tc>
        <w:tc>
          <w:tcPr>
            <w:tcW w:w="653" w:type="dxa"/>
          </w:tcPr>
          <w:p w14:paraId="72D7A454"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55C82CBD" w14:textId="77777777" w:rsidR="00EB4B5A" w:rsidRPr="00EB4B5A" w:rsidRDefault="00EB4B5A" w:rsidP="00EB4B5A">
            <w:pPr>
              <w:jc w:val="center"/>
            </w:pPr>
            <w:r w:rsidRPr="00EB4B5A">
              <w:t>0.76 (0.63-0.92)</w:t>
            </w:r>
          </w:p>
        </w:tc>
        <w:tc>
          <w:tcPr>
            <w:tcW w:w="665" w:type="dxa"/>
          </w:tcPr>
          <w:p w14:paraId="7B69432C" w14:textId="77777777" w:rsidR="00EB4B5A" w:rsidRPr="00EB4B5A" w:rsidRDefault="00EB4B5A" w:rsidP="00EB4B5A">
            <w:pPr>
              <w:jc w:val="center"/>
            </w:pPr>
            <w:r w:rsidRPr="00EB4B5A">
              <w:t>0.47 (0.33-0.67)</w:t>
            </w:r>
          </w:p>
        </w:tc>
        <w:tc>
          <w:tcPr>
            <w:tcW w:w="652" w:type="dxa"/>
          </w:tcPr>
          <w:p w14:paraId="1042DA23" w14:textId="77777777" w:rsidR="00EB4B5A" w:rsidRPr="00EB4B5A" w:rsidRDefault="00EB4B5A" w:rsidP="00EB4B5A">
            <w:pPr>
              <w:jc w:val="center"/>
            </w:pPr>
            <w:proofErr w:type="spellStart"/>
            <w:r w:rsidRPr="00EB4B5A">
              <w:t>ref</w:t>
            </w:r>
            <w:proofErr w:type="spellEnd"/>
          </w:p>
        </w:tc>
        <w:tc>
          <w:tcPr>
            <w:tcW w:w="665" w:type="dxa"/>
          </w:tcPr>
          <w:p w14:paraId="6FB71A99" w14:textId="77777777" w:rsidR="00EB4B5A" w:rsidRPr="00EB4B5A" w:rsidRDefault="00EB4B5A" w:rsidP="00EB4B5A">
            <w:pPr>
              <w:jc w:val="center"/>
            </w:pPr>
            <w:r w:rsidRPr="00EB4B5A">
              <w:t>0.83 (0.67-1.03)</w:t>
            </w:r>
          </w:p>
        </w:tc>
        <w:tc>
          <w:tcPr>
            <w:tcW w:w="665" w:type="dxa"/>
          </w:tcPr>
          <w:p w14:paraId="5E844E06" w14:textId="77777777" w:rsidR="00EB4B5A" w:rsidRPr="00EB4B5A" w:rsidRDefault="00EB4B5A" w:rsidP="00EB4B5A">
            <w:pPr>
              <w:jc w:val="center"/>
            </w:pPr>
            <w:r w:rsidRPr="00EB4B5A">
              <w:t>0.41 (0.3-0.56)</w:t>
            </w:r>
          </w:p>
        </w:tc>
        <w:tc>
          <w:tcPr>
            <w:tcW w:w="652" w:type="dxa"/>
          </w:tcPr>
          <w:p w14:paraId="14B2327F" w14:textId="77777777" w:rsidR="00EB4B5A" w:rsidRPr="00EB4B5A" w:rsidRDefault="00EB4B5A" w:rsidP="00EB4B5A">
            <w:pPr>
              <w:jc w:val="center"/>
            </w:pPr>
            <w:proofErr w:type="spellStart"/>
            <w:r w:rsidRPr="00EB4B5A">
              <w:t>ref</w:t>
            </w:r>
            <w:proofErr w:type="spellEnd"/>
          </w:p>
        </w:tc>
        <w:tc>
          <w:tcPr>
            <w:tcW w:w="665" w:type="dxa"/>
          </w:tcPr>
          <w:p w14:paraId="1347DE59" w14:textId="77777777" w:rsidR="00EB4B5A" w:rsidRPr="00EB4B5A" w:rsidRDefault="00EB4B5A" w:rsidP="00EB4B5A">
            <w:pPr>
              <w:jc w:val="center"/>
            </w:pPr>
            <w:r w:rsidRPr="00EB4B5A">
              <w:t>1.01 (0.82-1.24)</w:t>
            </w:r>
          </w:p>
        </w:tc>
        <w:tc>
          <w:tcPr>
            <w:tcW w:w="955" w:type="dxa"/>
          </w:tcPr>
          <w:p w14:paraId="4729B640" w14:textId="77777777" w:rsidR="00EB4B5A" w:rsidRPr="00EB4B5A" w:rsidRDefault="00EB4B5A" w:rsidP="00EB4B5A">
            <w:pPr>
              <w:jc w:val="center"/>
            </w:pPr>
            <w:r w:rsidRPr="00EB4B5A">
              <w:t>1.24 (0.88-1.73)</w:t>
            </w:r>
          </w:p>
        </w:tc>
      </w:tr>
      <w:tr w:rsidR="00EB4B5A" w:rsidRPr="00EB4B5A" w14:paraId="53D98F53" w14:textId="77777777" w:rsidTr="00365C12">
        <w:trPr>
          <w:jc w:val="center"/>
        </w:trPr>
        <w:tc>
          <w:tcPr>
            <w:tcW w:w="1374" w:type="dxa"/>
          </w:tcPr>
          <w:p w14:paraId="3E73FC00" w14:textId="77777777" w:rsidR="00EB4B5A" w:rsidRPr="00EB4B5A" w:rsidRDefault="00EB4B5A" w:rsidP="00EB4B5A">
            <w:pPr>
              <w:spacing w:after="160" w:line="259" w:lineRule="auto"/>
              <w:jc w:val="center"/>
            </w:pPr>
            <w:r w:rsidRPr="00EB4B5A">
              <w:t xml:space="preserve">Eastern </w:t>
            </w:r>
            <w:proofErr w:type="spellStart"/>
            <w:r w:rsidRPr="00EB4B5A">
              <w:t>Mediterranean</w:t>
            </w:r>
            <w:proofErr w:type="spellEnd"/>
          </w:p>
        </w:tc>
        <w:tc>
          <w:tcPr>
            <w:tcW w:w="1173" w:type="dxa"/>
          </w:tcPr>
          <w:p w14:paraId="02975416" w14:textId="77777777" w:rsidR="00EB4B5A" w:rsidRPr="00EB4B5A" w:rsidRDefault="00EB4B5A" w:rsidP="00EB4B5A">
            <w:pPr>
              <w:spacing w:after="160" w:line="259" w:lineRule="auto"/>
              <w:jc w:val="center"/>
            </w:pPr>
            <w:r w:rsidRPr="00EB4B5A">
              <w:t>Albania</w:t>
            </w:r>
          </w:p>
        </w:tc>
        <w:tc>
          <w:tcPr>
            <w:tcW w:w="653" w:type="dxa"/>
          </w:tcPr>
          <w:p w14:paraId="0281796E"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C1C3599" w14:textId="77777777" w:rsidR="00EB4B5A" w:rsidRPr="00EB4B5A" w:rsidRDefault="00EB4B5A" w:rsidP="00EB4B5A">
            <w:pPr>
              <w:jc w:val="center"/>
            </w:pPr>
            <w:r w:rsidRPr="00EB4B5A">
              <w:t>0.74 (0.65-0.85)</w:t>
            </w:r>
          </w:p>
        </w:tc>
        <w:tc>
          <w:tcPr>
            <w:tcW w:w="665" w:type="dxa"/>
          </w:tcPr>
          <w:p w14:paraId="214107BF" w14:textId="77777777" w:rsidR="00EB4B5A" w:rsidRPr="00EB4B5A" w:rsidRDefault="00EB4B5A" w:rsidP="00EB4B5A">
            <w:pPr>
              <w:jc w:val="center"/>
            </w:pPr>
            <w:r w:rsidRPr="00EB4B5A">
              <w:t>0.45 (0.38-0.53)</w:t>
            </w:r>
          </w:p>
        </w:tc>
        <w:tc>
          <w:tcPr>
            <w:tcW w:w="652" w:type="dxa"/>
          </w:tcPr>
          <w:p w14:paraId="56D2DC10" w14:textId="77777777" w:rsidR="00EB4B5A" w:rsidRPr="00EB4B5A" w:rsidRDefault="00EB4B5A" w:rsidP="00EB4B5A">
            <w:pPr>
              <w:jc w:val="center"/>
            </w:pPr>
            <w:proofErr w:type="spellStart"/>
            <w:r w:rsidRPr="00EB4B5A">
              <w:t>ref</w:t>
            </w:r>
            <w:proofErr w:type="spellEnd"/>
          </w:p>
        </w:tc>
        <w:tc>
          <w:tcPr>
            <w:tcW w:w="665" w:type="dxa"/>
          </w:tcPr>
          <w:p w14:paraId="72513C0F" w14:textId="77777777" w:rsidR="00EB4B5A" w:rsidRPr="00EB4B5A" w:rsidRDefault="00EB4B5A" w:rsidP="00EB4B5A">
            <w:pPr>
              <w:jc w:val="center"/>
            </w:pPr>
            <w:r w:rsidRPr="00EB4B5A">
              <w:t>0.84 (0.74-0.96)</w:t>
            </w:r>
          </w:p>
        </w:tc>
        <w:tc>
          <w:tcPr>
            <w:tcW w:w="665" w:type="dxa"/>
          </w:tcPr>
          <w:p w14:paraId="3179FB05" w14:textId="77777777" w:rsidR="00EB4B5A" w:rsidRPr="00EB4B5A" w:rsidRDefault="00EB4B5A" w:rsidP="00EB4B5A">
            <w:pPr>
              <w:jc w:val="center"/>
            </w:pPr>
            <w:r w:rsidRPr="00EB4B5A">
              <w:t>0.5 (0.43-0.58)</w:t>
            </w:r>
          </w:p>
        </w:tc>
        <w:tc>
          <w:tcPr>
            <w:tcW w:w="652" w:type="dxa"/>
          </w:tcPr>
          <w:p w14:paraId="2F9FB420" w14:textId="77777777" w:rsidR="00EB4B5A" w:rsidRPr="00EB4B5A" w:rsidRDefault="00EB4B5A" w:rsidP="00EB4B5A">
            <w:pPr>
              <w:jc w:val="center"/>
            </w:pPr>
            <w:proofErr w:type="spellStart"/>
            <w:r w:rsidRPr="00EB4B5A">
              <w:t>ref</w:t>
            </w:r>
            <w:proofErr w:type="spellEnd"/>
          </w:p>
        </w:tc>
        <w:tc>
          <w:tcPr>
            <w:tcW w:w="665" w:type="dxa"/>
          </w:tcPr>
          <w:p w14:paraId="1CCE0A24" w14:textId="77777777" w:rsidR="00EB4B5A" w:rsidRPr="00EB4B5A" w:rsidRDefault="00EB4B5A" w:rsidP="00EB4B5A">
            <w:pPr>
              <w:jc w:val="center"/>
            </w:pPr>
            <w:r w:rsidRPr="00EB4B5A">
              <w:t>0.76 (0.62-0.93)</w:t>
            </w:r>
          </w:p>
        </w:tc>
        <w:tc>
          <w:tcPr>
            <w:tcW w:w="955" w:type="dxa"/>
          </w:tcPr>
          <w:p w14:paraId="2767CABD" w14:textId="77777777" w:rsidR="00EB4B5A" w:rsidRPr="00EB4B5A" w:rsidRDefault="00EB4B5A" w:rsidP="00EB4B5A">
            <w:pPr>
              <w:jc w:val="center"/>
            </w:pPr>
            <w:r w:rsidRPr="00EB4B5A">
              <w:t>0.93 (0.71-1.21)</w:t>
            </w:r>
          </w:p>
        </w:tc>
      </w:tr>
      <w:tr w:rsidR="00EB4B5A" w:rsidRPr="00EB4B5A" w14:paraId="1E02ED52" w14:textId="77777777" w:rsidTr="00365C12">
        <w:trPr>
          <w:jc w:val="center"/>
        </w:trPr>
        <w:tc>
          <w:tcPr>
            <w:tcW w:w="1374" w:type="dxa"/>
          </w:tcPr>
          <w:p w14:paraId="5C5C34BF" w14:textId="77777777" w:rsidR="00EB4B5A" w:rsidRPr="00EB4B5A" w:rsidRDefault="00EB4B5A" w:rsidP="00EB4B5A">
            <w:pPr>
              <w:spacing w:after="160" w:line="259" w:lineRule="auto"/>
              <w:jc w:val="center"/>
            </w:pPr>
          </w:p>
        </w:tc>
        <w:tc>
          <w:tcPr>
            <w:tcW w:w="1173" w:type="dxa"/>
          </w:tcPr>
          <w:p w14:paraId="58607C2C" w14:textId="77777777" w:rsidR="00EB4B5A" w:rsidRPr="00EB4B5A" w:rsidRDefault="00EB4B5A" w:rsidP="00EB4B5A">
            <w:pPr>
              <w:spacing w:after="160" w:line="259" w:lineRule="auto"/>
              <w:jc w:val="center"/>
            </w:pPr>
            <w:proofErr w:type="spellStart"/>
            <w:r w:rsidRPr="00EB4B5A">
              <w:t>Croatia</w:t>
            </w:r>
            <w:proofErr w:type="spellEnd"/>
          </w:p>
        </w:tc>
        <w:tc>
          <w:tcPr>
            <w:tcW w:w="653" w:type="dxa"/>
          </w:tcPr>
          <w:p w14:paraId="08887656"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76306641" w14:textId="77777777" w:rsidR="00EB4B5A" w:rsidRPr="00EB4B5A" w:rsidRDefault="00EB4B5A" w:rsidP="00EB4B5A">
            <w:pPr>
              <w:jc w:val="center"/>
            </w:pPr>
            <w:r w:rsidRPr="00EB4B5A">
              <w:t>0.72 (0.63-0.82)</w:t>
            </w:r>
          </w:p>
        </w:tc>
        <w:tc>
          <w:tcPr>
            <w:tcW w:w="665" w:type="dxa"/>
          </w:tcPr>
          <w:p w14:paraId="39CFC17A" w14:textId="77777777" w:rsidR="00EB4B5A" w:rsidRPr="00EB4B5A" w:rsidRDefault="00EB4B5A" w:rsidP="00EB4B5A">
            <w:pPr>
              <w:jc w:val="center"/>
            </w:pPr>
            <w:r w:rsidRPr="00EB4B5A">
              <w:t>0.48 (0.37-0.62)</w:t>
            </w:r>
          </w:p>
        </w:tc>
        <w:tc>
          <w:tcPr>
            <w:tcW w:w="652" w:type="dxa"/>
          </w:tcPr>
          <w:p w14:paraId="723E3484" w14:textId="77777777" w:rsidR="00EB4B5A" w:rsidRPr="00EB4B5A" w:rsidRDefault="00EB4B5A" w:rsidP="00EB4B5A">
            <w:pPr>
              <w:jc w:val="center"/>
            </w:pPr>
            <w:proofErr w:type="spellStart"/>
            <w:r w:rsidRPr="00EB4B5A">
              <w:t>ref</w:t>
            </w:r>
            <w:proofErr w:type="spellEnd"/>
          </w:p>
        </w:tc>
        <w:tc>
          <w:tcPr>
            <w:tcW w:w="665" w:type="dxa"/>
          </w:tcPr>
          <w:p w14:paraId="5771ABEE" w14:textId="77777777" w:rsidR="00EB4B5A" w:rsidRPr="00EB4B5A" w:rsidRDefault="00EB4B5A" w:rsidP="00EB4B5A">
            <w:pPr>
              <w:jc w:val="center"/>
            </w:pPr>
            <w:r w:rsidRPr="00EB4B5A">
              <w:t>0.72 (0.61-0.85)</w:t>
            </w:r>
          </w:p>
        </w:tc>
        <w:tc>
          <w:tcPr>
            <w:tcW w:w="665" w:type="dxa"/>
          </w:tcPr>
          <w:p w14:paraId="3EDDAC97" w14:textId="77777777" w:rsidR="00EB4B5A" w:rsidRPr="00EB4B5A" w:rsidRDefault="00EB4B5A" w:rsidP="00EB4B5A">
            <w:pPr>
              <w:jc w:val="center"/>
            </w:pPr>
            <w:r w:rsidRPr="00EB4B5A">
              <w:t>0.42 (0.33-0.54)</w:t>
            </w:r>
          </w:p>
        </w:tc>
        <w:tc>
          <w:tcPr>
            <w:tcW w:w="652" w:type="dxa"/>
          </w:tcPr>
          <w:p w14:paraId="5933029B" w14:textId="77777777" w:rsidR="00EB4B5A" w:rsidRPr="00EB4B5A" w:rsidRDefault="00EB4B5A" w:rsidP="00EB4B5A">
            <w:pPr>
              <w:jc w:val="center"/>
            </w:pPr>
            <w:proofErr w:type="spellStart"/>
            <w:r w:rsidRPr="00EB4B5A">
              <w:t>ref</w:t>
            </w:r>
            <w:proofErr w:type="spellEnd"/>
          </w:p>
        </w:tc>
        <w:tc>
          <w:tcPr>
            <w:tcW w:w="665" w:type="dxa"/>
          </w:tcPr>
          <w:p w14:paraId="14F7E7C7" w14:textId="77777777" w:rsidR="00EB4B5A" w:rsidRPr="00EB4B5A" w:rsidRDefault="00EB4B5A" w:rsidP="00EB4B5A">
            <w:pPr>
              <w:jc w:val="center"/>
            </w:pPr>
            <w:r w:rsidRPr="00EB4B5A">
              <w:t>0.79 (0.69-0.91)</w:t>
            </w:r>
          </w:p>
        </w:tc>
        <w:tc>
          <w:tcPr>
            <w:tcW w:w="955" w:type="dxa"/>
          </w:tcPr>
          <w:p w14:paraId="05836D40" w14:textId="77777777" w:rsidR="00EB4B5A" w:rsidRPr="00EB4B5A" w:rsidRDefault="00EB4B5A" w:rsidP="00EB4B5A">
            <w:pPr>
              <w:jc w:val="center"/>
            </w:pPr>
            <w:r w:rsidRPr="00EB4B5A">
              <w:t>0.69 (0.5-0.95)</w:t>
            </w:r>
          </w:p>
        </w:tc>
      </w:tr>
      <w:tr w:rsidR="00EB4B5A" w:rsidRPr="00EB4B5A" w14:paraId="01EF2C81" w14:textId="77777777" w:rsidTr="00365C12">
        <w:trPr>
          <w:jc w:val="center"/>
        </w:trPr>
        <w:tc>
          <w:tcPr>
            <w:tcW w:w="1374" w:type="dxa"/>
          </w:tcPr>
          <w:p w14:paraId="715717B0" w14:textId="77777777" w:rsidR="00EB4B5A" w:rsidRPr="00EB4B5A" w:rsidRDefault="00EB4B5A" w:rsidP="00EB4B5A">
            <w:pPr>
              <w:spacing w:after="160" w:line="259" w:lineRule="auto"/>
              <w:jc w:val="center"/>
            </w:pPr>
          </w:p>
        </w:tc>
        <w:tc>
          <w:tcPr>
            <w:tcW w:w="1173" w:type="dxa"/>
          </w:tcPr>
          <w:p w14:paraId="35349DEB" w14:textId="77777777" w:rsidR="00EB4B5A" w:rsidRPr="00EB4B5A" w:rsidRDefault="00EB4B5A" w:rsidP="00EB4B5A">
            <w:pPr>
              <w:spacing w:after="160" w:line="259" w:lineRule="auto"/>
              <w:jc w:val="center"/>
            </w:pPr>
            <w:r w:rsidRPr="00EB4B5A">
              <w:t>Malta</w:t>
            </w:r>
          </w:p>
        </w:tc>
        <w:tc>
          <w:tcPr>
            <w:tcW w:w="653" w:type="dxa"/>
          </w:tcPr>
          <w:p w14:paraId="3E9B1843"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5EFE9EA6" w14:textId="77777777" w:rsidR="00EB4B5A" w:rsidRPr="00EB4B5A" w:rsidRDefault="00EB4B5A" w:rsidP="00EB4B5A">
            <w:pPr>
              <w:jc w:val="center"/>
            </w:pPr>
            <w:r w:rsidRPr="00EB4B5A">
              <w:t>0.61 (0.48-0.77)</w:t>
            </w:r>
          </w:p>
        </w:tc>
        <w:tc>
          <w:tcPr>
            <w:tcW w:w="665" w:type="dxa"/>
          </w:tcPr>
          <w:p w14:paraId="69193E1D" w14:textId="77777777" w:rsidR="00EB4B5A" w:rsidRPr="00EB4B5A" w:rsidRDefault="00EB4B5A" w:rsidP="00EB4B5A">
            <w:pPr>
              <w:jc w:val="center"/>
            </w:pPr>
            <w:r w:rsidRPr="00EB4B5A">
              <w:t>0.42 (0.28-0.64)</w:t>
            </w:r>
          </w:p>
        </w:tc>
        <w:tc>
          <w:tcPr>
            <w:tcW w:w="652" w:type="dxa"/>
          </w:tcPr>
          <w:p w14:paraId="0870C963" w14:textId="77777777" w:rsidR="00EB4B5A" w:rsidRPr="00EB4B5A" w:rsidRDefault="00EB4B5A" w:rsidP="00EB4B5A">
            <w:pPr>
              <w:jc w:val="center"/>
            </w:pPr>
            <w:proofErr w:type="spellStart"/>
            <w:r w:rsidRPr="00EB4B5A">
              <w:t>ref</w:t>
            </w:r>
            <w:proofErr w:type="spellEnd"/>
          </w:p>
        </w:tc>
        <w:tc>
          <w:tcPr>
            <w:tcW w:w="665" w:type="dxa"/>
          </w:tcPr>
          <w:p w14:paraId="69EA8F30" w14:textId="77777777" w:rsidR="00EB4B5A" w:rsidRPr="00EB4B5A" w:rsidRDefault="00EB4B5A" w:rsidP="00EB4B5A">
            <w:pPr>
              <w:jc w:val="center"/>
            </w:pPr>
            <w:r w:rsidRPr="00EB4B5A">
              <w:t>0.65 (0.52-0.81)</w:t>
            </w:r>
          </w:p>
        </w:tc>
        <w:tc>
          <w:tcPr>
            <w:tcW w:w="665" w:type="dxa"/>
          </w:tcPr>
          <w:p w14:paraId="6684156D" w14:textId="77777777" w:rsidR="00EB4B5A" w:rsidRPr="00EB4B5A" w:rsidRDefault="00EB4B5A" w:rsidP="00EB4B5A">
            <w:pPr>
              <w:jc w:val="center"/>
            </w:pPr>
            <w:r w:rsidRPr="00EB4B5A">
              <w:t>0.3 (0.2-0.46)</w:t>
            </w:r>
          </w:p>
        </w:tc>
        <w:tc>
          <w:tcPr>
            <w:tcW w:w="652" w:type="dxa"/>
          </w:tcPr>
          <w:p w14:paraId="7436F380" w14:textId="77777777" w:rsidR="00EB4B5A" w:rsidRPr="00EB4B5A" w:rsidRDefault="00EB4B5A" w:rsidP="00EB4B5A">
            <w:pPr>
              <w:jc w:val="center"/>
            </w:pPr>
            <w:proofErr w:type="spellStart"/>
            <w:r w:rsidRPr="00EB4B5A">
              <w:t>ref</w:t>
            </w:r>
            <w:proofErr w:type="spellEnd"/>
          </w:p>
        </w:tc>
        <w:tc>
          <w:tcPr>
            <w:tcW w:w="665" w:type="dxa"/>
          </w:tcPr>
          <w:p w14:paraId="7B286DD5" w14:textId="77777777" w:rsidR="00EB4B5A" w:rsidRPr="00EB4B5A" w:rsidRDefault="00EB4B5A" w:rsidP="00EB4B5A">
            <w:pPr>
              <w:jc w:val="center"/>
            </w:pPr>
            <w:r w:rsidRPr="00EB4B5A">
              <w:t>1.09 (0.79-1.5)</w:t>
            </w:r>
          </w:p>
        </w:tc>
        <w:tc>
          <w:tcPr>
            <w:tcW w:w="955" w:type="dxa"/>
          </w:tcPr>
          <w:p w14:paraId="590A79CA" w14:textId="77777777" w:rsidR="00EB4B5A" w:rsidRPr="00EB4B5A" w:rsidRDefault="00EB4B5A" w:rsidP="00EB4B5A">
            <w:pPr>
              <w:jc w:val="center"/>
            </w:pPr>
            <w:r w:rsidRPr="00EB4B5A">
              <w:t>3.5 (2.28-5.38)</w:t>
            </w:r>
          </w:p>
        </w:tc>
      </w:tr>
      <w:tr w:rsidR="00EB4B5A" w:rsidRPr="00EB4B5A" w14:paraId="2774B5A1" w14:textId="77777777" w:rsidTr="00365C12">
        <w:trPr>
          <w:jc w:val="center"/>
        </w:trPr>
        <w:tc>
          <w:tcPr>
            <w:tcW w:w="1374" w:type="dxa"/>
          </w:tcPr>
          <w:p w14:paraId="4F8AF67A" w14:textId="77777777" w:rsidR="00EB4B5A" w:rsidRPr="00EB4B5A" w:rsidRDefault="00EB4B5A" w:rsidP="00EB4B5A">
            <w:pPr>
              <w:spacing w:after="160" w:line="259" w:lineRule="auto"/>
              <w:jc w:val="center"/>
            </w:pPr>
          </w:p>
        </w:tc>
        <w:tc>
          <w:tcPr>
            <w:tcW w:w="1173" w:type="dxa"/>
          </w:tcPr>
          <w:p w14:paraId="211E8735" w14:textId="77777777" w:rsidR="00EB4B5A" w:rsidRPr="00EB4B5A" w:rsidRDefault="00EB4B5A" w:rsidP="00EB4B5A">
            <w:pPr>
              <w:spacing w:after="160" w:line="259" w:lineRule="auto"/>
              <w:jc w:val="center"/>
            </w:pPr>
            <w:r w:rsidRPr="00EB4B5A">
              <w:t>Serbia</w:t>
            </w:r>
          </w:p>
        </w:tc>
        <w:tc>
          <w:tcPr>
            <w:tcW w:w="653" w:type="dxa"/>
          </w:tcPr>
          <w:p w14:paraId="2B35C16A"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4849CC16" w14:textId="77777777" w:rsidR="00EB4B5A" w:rsidRPr="00EB4B5A" w:rsidRDefault="00EB4B5A" w:rsidP="00EB4B5A">
            <w:pPr>
              <w:jc w:val="center"/>
            </w:pPr>
            <w:r w:rsidRPr="00EB4B5A">
              <w:t>0.77 (0.67-0.89)</w:t>
            </w:r>
          </w:p>
        </w:tc>
        <w:tc>
          <w:tcPr>
            <w:tcW w:w="665" w:type="dxa"/>
          </w:tcPr>
          <w:p w14:paraId="522733E5" w14:textId="77777777" w:rsidR="00EB4B5A" w:rsidRPr="00EB4B5A" w:rsidRDefault="00EB4B5A" w:rsidP="00EB4B5A">
            <w:pPr>
              <w:jc w:val="center"/>
            </w:pPr>
            <w:r w:rsidRPr="00EB4B5A">
              <w:t>0.51 (0.4-0.65)</w:t>
            </w:r>
          </w:p>
        </w:tc>
        <w:tc>
          <w:tcPr>
            <w:tcW w:w="652" w:type="dxa"/>
          </w:tcPr>
          <w:p w14:paraId="44FEB21B" w14:textId="77777777" w:rsidR="00EB4B5A" w:rsidRPr="00EB4B5A" w:rsidRDefault="00EB4B5A" w:rsidP="00EB4B5A">
            <w:pPr>
              <w:jc w:val="center"/>
            </w:pPr>
            <w:proofErr w:type="spellStart"/>
            <w:r w:rsidRPr="00EB4B5A">
              <w:t>ref</w:t>
            </w:r>
            <w:proofErr w:type="spellEnd"/>
          </w:p>
        </w:tc>
        <w:tc>
          <w:tcPr>
            <w:tcW w:w="665" w:type="dxa"/>
          </w:tcPr>
          <w:p w14:paraId="7A038E72" w14:textId="77777777" w:rsidR="00EB4B5A" w:rsidRPr="00EB4B5A" w:rsidRDefault="00EB4B5A" w:rsidP="00EB4B5A">
            <w:pPr>
              <w:jc w:val="center"/>
            </w:pPr>
            <w:r w:rsidRPr="00EB4B5A">
              <w:t>0.8 (0.69-0.94)</w:t>
            </w:r>
          </w:p>
        </w:tc>
        <w:tc>
          <w:tcPr>
            <w:tcW w:w="665" w:type="dxa"/>
          </w:tcPr>
          <w:p w14:paraId="757CA70B" w14:textId="77777777" w:rsidR="00EB4B5A" w:rsidRPr="00EB4B5A" w:rsidRDefault="00EB4B5A" w:rsidP="00EB4B5A">
            <w:pPr>
              <w:jc w:val="center"/>
            </w:pPr>
            <w:r w:rsidRPr="00EB4B5A">
              <w:t>0.45 (0.34-0.6)</w:t>
            </w:r>
          </w:p>
        </w:tc>
        <w:tc>
          <w:tcPr>
            <w:tcW w:w="652" w:type="dxa"/>
          </w:tcPr>
          <w:p w14:paraId="4A21461C" w14:textId="77777777" w:rsidR="00EB4B5A" w:rsidRPr="00EB4B5A" w:rsidRDefault="00EB4B5A" w:rsidP="00EB4B5A">
            <w:pPr>
              <w:jc w:val="center"/>
            </w:pPr>
            <w:proofErr w:type="spellStart"/>
            <w:r w:rsidRPr="00EB4B5A">
              <w:t>ref</w:t>
            </w:r>
            <w:proofErr w:type="spellEnd"/>
          </w:p>
        </w:tc>
        <w:tc>
          <w:tcPr>
            <w:tcW w:w="665" w:type="dxa"/>
          </w:tcPr>
          <w:p w14:paraId="798B7669" w14:textId="77777777" w:rsidR="00EB4B5A" w:rsidRPr="00EB4B5A" w:rsidRDefault="00EB4B5A" w:rsidP="00EB4B5A">
            <w:pPr>
              <w:jc w:val="center"/>
            </w:pPr>
            <w:r w:rsidRPr="00EB4B5A">
              <w:t>0.84 (0.72-0.98)</w:t>
            </w:r>
          </w:p>
        </w:tc>
        <w:tc>
          <w:tcPr>
            <w:tcW w:w="955" w:type="dxa"/>
          </w:tcPr>
          <w:p w14:paraId="764A9CF7" w14:textId="77777777" w:rsidR="00EB4B5A" w:rsidRPr="00EB4B5A" w:rsidRDefault="00EB4B5A" w:rsidP="00EB4B5A">
            <w:pPr>
              <w:jc w:val="center"/>
            </w:pPr>
            <w:r w:rsidRPr="00EB4B5A">
              <w:t>1.21 (0.95-1.53)</w:t>
            </w:r>
          </w:p>
        </w:tc>
      </w:tr>
      <w:tr w:rsidR="00EB4B5A" w:rsidRPr="00EB4B5A" w14:paraId="30B5FEC0" w14:textId="77777777" w:rsidTr="00365C12">
        <w:trPr>
          <w:jc w:val="center"/>
        </w:trPr>
        <w:tc>
          <w:tcPr>
            <w:tcW w:w="1374" w:type="dxa"/>
          </w:tcPr>
          <w:p w14:paraId="4368ABBE" w14:textId="77777777" w:rsidR="00EB4B5A" w:rsidRPr="00EB4B5A" w:rsidRDefault="00EB4B5A" w:rsidP="00EB4B5A">
            <w:pPr>
              <w:spacing w:after="160" w:line="259" w:lineRule="auto"/>
              <w:jc w:val="center"/>
            </w:pPr>
          </w:p>
        </w:tc>
        <w:tc>
          <w:tcPr>
            <w:tcW w:w="1173" w:type="dxa"/>
          </w:tcPr>
          <w:p w14:paraId="21917217" w14:textId="77777777" w:rsidR="00EB4B5A" w:rsidRPr="00EB4B5A" w:rsidRDefault="00EB4B5A" w:rsidP="00EB4B5A">
            <w:pPr>
              <w:spacing w:after="160" w:line="259" w:lineRule="auto"/>
              <w:jc w:val="center"/>
            </w:pPr>
            <w:proofErr w:type="spellStart"/>
            <w:r w:rsidRPr="00EB4B5A">
              <w:t>Turkey</w:t>
            </w:r>
            <w:proofErr w:type="spellEnd"/>
          </w:p>
        </w:tc>
        <w:tc>
          <w:tcPr>
            <w:tcW w:w="653" w:type="dxa"/>
          </w:tcPr>
          <w:p w14:paraId="63D29C91"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1CD5A11" w14:textId="77777777" w:rsidR="00EB4B5A" w:rsidRPr="00EB4B5A" w:rsidRDefault="00EB4B5A" w:rsidP="00EB4B5A">
            <w:pPr>
              <w:jc w:val="center"/>
            </w:pPr>
            <w:r w:rsidRPr="00EB4B5A">
              <w:t>0.58 (0.52-0.66)</w:t>
            </w:r>
          </w:p>
        </w:tc>
        <w:tc>
          <w:tcPr>
            <w:tcW w:w="665" w:type="dxa"/>
          </w:tcPr>
          <w:p w14:paraId="5E050D86" w14:textId="77777777" w:rsidR="00EB4B5A" w:rsidRPr="00EB4B5A" w:rsidRDefault="00EB4B5A" w:rsidP="00EB4B5A">
            <w:pPr>
              <w:jc w:val="center"/>
            </w:pPr>
            <w:r w:rsidRPr="00EB4B5A">
              <w:t>0.39 (0.32-0.47)</w:t>
            </w:r>
          </w:p>
        </w:tc>
        <w:tc>
          <w:tcPr>
            <w:tcW w:w="652" w:type="dxa"/>
          </w:tcPr>
          <w:p w14:paraId="02E4B53C" w14:textId="77777777" w:rsidR="00EB4B5A" w:rsidRPr="00EB4B5A" w:rsidRDefault="00EB4B5A" w:rsidP="00EB4B5A">
            <w:pPr>
              <w:jc w:val="center"/>
            </w:pPr>
            <w:proofErr w:type="spellStart"/>
            <w:r w:rsidRPr="00EB4B5A">
              <w:t>ref</w:t>
            </w:r>
            <w:proofErr w:type="spellEnd"/>
          </w:p>
        </w:tc>
        <w:tc>
          <w:tcPr>
            <w:tcW w:w="665" w:type="dxa"/>
          </w:tcPr>
          <w:p w14:paraId="1B097353" w14:textId="77777777" w:rsidR="00EB4B5A" w:rsidRPr="00EB4B5A" w:rsidRDefault="00EB4B5A" w:rsidP="00EB4B5A">
            <w:pPr>
              <w:jc w:val="center"/>
            </w:pPr>
            <w:r w:rsidRPr="00EB4B5A">
              <w:t>0.53 (0.46-0.61)</w:t>
            </w:r>
          </w:p>
        </w:tc>
        <w:tc>
          <w:tcPr>
            <w:tcW w:w="665" w:type="dxa"/>
          </w:tcPr>
          <w:p w14:paraId="5499F74B" w14:textId="77777777" w:rsidR="00EB4B5A" w:rsidRPr="00EB4B5A" w:rsidRDefault="00EB4B5A" w:rsidP="00EB4B5A">
            <w:pPr>
              <w:jc w:val="center"/>
            </w:pPr>
            <w:r w:rsidRPr="00EB4B5A">
              <w:t>0.31 (0.26-0.38)</w:t>
            </w:r>
          </w:p>
        </w:tc>
        <w:tc>
          <w:tcPr>
            <w:tcW w:w="652" w:type="dxa"/>
          </w:tcPr>
          <w:p w14:paraId="31B0D54F" w14:textId="77777777" w:rsidR="00EB4B5A" w:rsidRPr="00EB4B5A" w:rsidRDefault="00EB4B5A" w:rsidP="00EB4B5A">
            <w:pPr>
              <w:jc w:val="center"/>
            </w:pPr>
            <w:proofErr w:type="spellStart"/>
            <w:r w:rsidRPr="00EB4B5A">
              <w:t>ref</w:t>
            </w:r>
            <w:proofErr w:type="spellEnd"/>
          </w:p>
        </w:tc>
        <w:tc>
          <w:tcPr>
            <w:tcW w:w="665" w:type="dxa"/>
          </w:tcPr>
          <w:p w14:paraId="67F4021A" w14:textId="77777777" w:rsidR="00EB4B5A" w:rsidRPr="00EB4B5A" w:rsidRDefault="00EB4B5A" w:rsidP="00EB4B5A">
            <w:pPr>
              <w:jc w:val="center"/>
            </w:pPr>
            <w:r w:rsidRPr="00EB4B5A">
              <w:t>0.77 (0.66-0.89)</w:t>
            </w:r>
          </w:p>
        </w:tc>
        <w:tc>
          <w:tcPr>
            <w:tcW w:w="955" w:type="dxa"/>
          </w:tcPr>
          <w:p w14:paraId="17018773" w14:textId="77777777" w:rsidR="00EB4B5A" w:rsidRPr="00EB4B5A" w:rsidRDefault="00EB4B5A" w:rsidP="00EB4B5A">
            <w:pPr>
              <w:jc w:val="center"/>
            </w:pPr>
            <w:r w:rsidRPr="00EB4B5A">
              <w:t>0.78 (0.62-0.99)</w:t>
            </w:r>
          </w:p>
        </w:tc>
      </w:tr>
      <w:tr w:rsidR="00EB4B5A" w:rsidRPr="00EB4B5A" w14:paraId="0A146319" w14:textId="77777777" w:rsidTr="00365C12">
        <w:trPr>
          <w:jc w:val="center"/>
        </w:trPr>
        <w:tc>
          <w:tcPr>
            <w:tcW w:w="1374" w:type="dxa"/>
          </w:tcPr>
          <w:p w14:paraId="50FAD986" w14:textId="77777777" w:rsidR="00EB4B5A" w:rsidRPr="00EB4B5A" w:rsidRDefault="00EB4B5A" w:rsidP="00EB4B5A">
            <w:pPr>
              <w:spacing w:after="160" w:line="259" w:lineRule="auto"/>
              <w:jc w:val="center"/>
            </w:pPr>
            <w:proofErr w:type="spellStart"/>
            <w:r w:rsidRPr="00EB4B5A">
              <w:lastRenderedPageBreak/>
              <w:t>Europe</w:t>
            </w:r>
            <w:proofErr w:type="spellEnd"/>
            <w:r w:rsidRPr="00EB4B5A">
              <w:t xml:space="preserve"> A</w:t>
            </w:r>
          </w:p>
        </w:tc>
        <w:tc>
          <w:tcPr>
            <w:tcW w:w="1173" w:type="dxa"/>
          </w:tcPr>
          <w:p w14:paraId="4277D859" w14:textId="77777777" w:rsidR="00EB4B5A" w:rsidRPr="00EB4B5A" w:rsidRDefault="00EB4B5A" w:rsidP="00EB4B5A">
            <w:pPr>
              <w:spacing w:after="160" w:line="259" w:lineRule="auto"/>
              <w:jc w:val="center"/>
            </w:pPr>
            <w:r w:rsidRPr="00EB4B5A">
              <w:t>Austria</w:t>
            </w:r>
          </w:p>
        </w:tc>
        <w:tc>
          <w:tcPr>
            <w:tcW w:w="653" w:type="dxa"/>
          </w:tcPr>
          <w:p w14:paraId="0AB3B30A"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AE83EE8" w14:textId="77777777" w:rsidR="00EB4B5A" w:rsidRPr="00EB4B5A" w:rsidRDefault="00EB4B5A" w:rsidP="00EB4B5A">
            <w:pPr>
              <w:jc w:val="center"/>
            </w:pPr>
            <w:r w:rsidRPr="00EB4B5A">
              <w:t>0.76 (0.67-0.86)</w:t>
            </w:r>
          </w:p>
        </w:tc>
        <w:tc>
          <w:tcPr>
            <w:tcW w:w="665" w:type="dxa"/>
          </w:tcPr>
          <w:p w14:paraId="2AC20D92" w14:textId="77777777" w:rsidR="00EB4B5A" w:rsidRPr="00EB4B5A" w:rsidRDefault="00EB4B5A" w:rsidP="00EB4B5A">
            <w:pPr>
              <w:jc w:val="center"/>
            </w:pPr>
            <w:r w:rsidRPr="00EB4B5A">
              <w:t>0.57 (0.45-0.72)</w:t>
            </w:r>
          </w:p>
        </w:tc>
        <w:tc>
          <w:tcPr>
            <w:tcW w:w="652" w:type="dxa"/>
          </w:tcPr>
          <w:p w14:paraId="718F51DC" w14:textId="77777777" w:rsidR="00EB4B5A" w:rsidRPr="00EB4B5A" w:rsidRDefault="00EB4B5A" w:rsidP="00EB4B5A">
            <w:pPr>
              <w:jc w:val="center"/>
            </w:pPr>
            <w:proofErr w:type="spellStart"/>
            <w:r w:rsidRPr="00EB4B5A">
              <w:t>ref</w:t>
            </w:r>
            <w:proofErr w:type="spellEnd"/>
          </w:p>
        </w:tc>
        <w:tc>
          <w:tcPr>
            <w:tcW w:w="665" w:type="dxa"/>
          </w:tcPr>
          <w:p w14:paraId="22444B20" w14:textId="77777777" w:rsidR="00EB4B5A" w:rsidRPr="00EB4B5A" w:rsidRDefault="00EB4B5A" w:rsidP="00EB4B5A">
            <w:pPr>
              <w:jc w:val="center"/>
            </w:pPr>
            <w:r w:rsidRPr="00EB4B5A">
              <w:t>0.81 (0.71-0.93)</w:t>
            </w:r>
          </w:p>
        </w:tc>
        <w:tc>
          <w:tcPr>
            <w:tcW w:w="665" w:type="dxa"/>
          </w:tcPr>
          <w:p w14:paraId="3102DB2D" w14:textId="77777777" w:rsidR="00EB4B5A" w:rsidRPr="00EB4B5A" w:rsidRDefault="00EB4B5A" w:rsidP="00EB4B5A">
            <w:pPr>
              <w:jc w:val="center"/>
            </w:pPr>
            <w:r w:rsidRPr="00EB4B5A">
              <w:t>0.44 (0.34-0.56)</w:t>
            </w:r>
          </w:p>
        </w:tc>
        <w:tc>
          <w:tcPr>
            <w:tcW w:w="652" w:type="dxa"/>
          </w:tcPr>
          <w:p w14:paraId="559F0AF0" w14:textId="77777777" w:rsidR="00EB4B5A" w:rsidRPr="00EB4B5A" w:rsidRDefault="00EB4B5A" w:rsidP="00EB4B5A">
            <w:pPr>
              <w:jc w:val="center"/>
            </w:pPr>
            <w:proofErr w:type="spellStart"/>
            <w:r w:rsidRPr="00EB4B5A">
              <w:t>ref</w:t>
            </w:r>
            <w:proofErr w:type="spellEnd"/>
          </w:p>
        </w:tc>
        <w:tc>
          <w:tcPr>
            <w:tcW w:w="665" w:type="dxa"/>
          </w:tcPr>
          <w:p w14:paraId="51737EDD" w14:textId="77777777" w:rsidR="00EB4B5A" w:rsidRPr="00EB4B5A" w:rsidRDefault="00EB4B5A" w:rsidP="00EB4B5A">
            <w:pPr>
              <w:jc w:val="center"/>
            </w:pPr>
            <w:r w:rsidRPr="00EB4B5A">
              <w:t>0.94 (0.83-1.06)</w:t>
            </w:r>
          </w:p>
        </w:tc>
        <w:tc>
          <w:tcPr>
            <w:tcW w:w="955" w:type="dxa"/>
          </w:tcPr>
          <w:p w14:paraId="56D6D0C8" w14:textId="77777777" w:rsidR="00EB4B5A" w:rsidRPr="00EB4B5A" w:rsidRDefault="00EB4B5A" w:rsidP="00EB4B5A">
            <w:pPr>
              <w:jc w:val="center"/>
            </w:pPr>
            <w:r w:rsidRPr="00EB4B5A">
              <w:t>1.09 (0.81-1.46)</w:t>
            </w:r>
          </w:p>
        </w:tc>
      </w:tr>
      <w:tr w:rsidR="00EB4B5A" w:rsidRPr="00EB4B5A" w14:paraId="59BB940B" w14:textId="77777777" w:rsidTr="00365C12">
        <w:trPr>
          <w:jc w:val="center"/>
        </w:trPr>
        <w:tc>
          <w:tcPr>
            <w:tcW w:w="1374" w:type="dxa"/>
          </w:tcPr>
          <w:p w14:paraId="4B2A72C6" w14:textId="77777777" w:rsidR="00EB4B5A" w:rsidRPr="00EB4B5A" w:rsidRDefault="00EB4B5A" w:rsidP="00EB4B5A">
            <w:pPr>
              <w:spacing w:after="160" w:line="259" w:lineRule="auto"/>
              <w:jc w:val="center"/>
            </w:pPr>
          </w:p>
        </w:tc>
        <w:tc>
          <w:tcPr>
            <w:tcW w:w="1173" w:type="dxa"/>
          </w:tcPr>
          <w:p w14:paraId="3681F4B7" w14:textId="77777777" w:rsidR="00EB4B5A" w:rsidRPr="00EB4B5A" w:rsidRDefault="00EB4B5A" w:rsidP="00EB4B5A">
            <w:pPr>
              <w:spacing w:after="160" w:line="259" w:lineRule="auto"/>
              <w:jc w:val="center"/>
            </w:pPr>
            <w:proofErr w:type="spellStart"/>
            <w:r w:rsidRPr="00EB4B5A">
              <w:t>Belgium</w:t>
            </w:r>
            <w:proofErr w:type="spellEnd"/>
          </w:p>
        </w:tc>
        <w:tc>
          <w:tcPr>
            <w:tcW w:w="653" w:type="dxa"/>
          </w:tcPr>
          <w:p w14:paraId="3295E1B4"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B008C56" w14:textId="77777777" w:rsidR="00EB4B5A" w:rsidRPr="00EB4B5A" w:rsidRDefault="00EB4B5A" w:rsidP="00EB4B5A">
            <w:pPr>
              <w:jc w:val="center"/>
            </w:pPr>
            <w:r w:rsidRPr="00EB4B5A">
              <w:t>0.84 (0.74-0.94)</w:t>
            </w:r>
          </w:p>
        </w:tc>
        <w:tc>
          <w:tcPr>
            <w:tcW w:w="665" w:type="dxa"/>
          </w:tcPr>
          <w:p w14:paraId="1F147FD5" w14:textId="77777777" w:rsidR="00EB4B5A" w:rsidRPr="00EB4B5A" w:rsidRDefault="00EB4B5A" w:rsidP="00EB4B5A">
            <w:pPr>
              <w:jc w:val="center"/>
            </w:pPr>
            <w:r w:rsidRPr="00EB4B5A">
              <w:t>0.55 (0.45-0.68)</w:t>
            </w:r>
          </w:p>
        </w:tc>
        <w:tc>
          <w:tcPr>
            <w:tcW w:w="652" w:type="dxa"/>
          </w:tcPr>
          <w:p w14:paraId="7078D7E2" w14:textId="77777777" w:rsidR="00EB4B5A" w:rsidRPr="00EB4B5A" w:rsidRDefault="00EB4B5A" w:rsidP="00EB4B5A">
            <w:pPr>
              <w:jc w:val="center"/>
            </w:pPr>
            <w:proofErr w:type="spellStart"/>
            <w:r w:rsidRPr="00EB4B5A">
              <w:t>ref</w:t>
            </w:r>
            <w:proofErr w:type="spellEnd"/>
          </w:p>
        </w:tc>
        <w:tc>
          <w:tcPr>
            <w:tcW w:w="665" w:type="dxa"/>
          </w:tcPr>
          <w:p w14:paraId="66FEDA35" w14:textId="77777777" w:rsidR="00EB4B5A" w:rsidRPr="00EB4B5A" w:rsidRDefault="00EB4B5A" w:rsidP="00EB4B5A">
            <w:pPr>
              <w:jc w:val="center"/>
            </w:pPr>
            <w:r w:rsidRPr="00EB4B5A">
              <w:t>0.84 (0.71-0.98)</w:t>
            </w:r>
          </w:p>
        </w:tc>
        <w:tc>
          <w:tcPr>
            <w:tcW w:w="665" w:type="dxa"/>
          </w:tcPr>
          <w:p w14:paraId="5A060CAD" w14:textId="77777777" w:rsidR="00EB4B5A" w:rsidRPr="00EB4B5A" w:rsidRDefault="00EB4B5A" w:rsidP="00EB4B5A">
            <w:pPr>
              <w:jc w:val="center"/>
            </w:pPr>
            <w:r w:rsidRPr="00EB4B5A">
              <w:t>0.5 (0.4-0.62)</w:t>
            </w:r>
          </w:p>
        </w:tc>
        <w:tc>
          <w:tcPr>
            <w:tcW w:w="652" w:type="dxa"/>
          </w:tcPr>
          <w:p w14:paraId="3521387E" w14:textId="77777777" w:rsidR="00EB4B5A" w:rsidRPr="00EB4B5A" w:rsidRDefault="00EB4B5A" w:rsidP="00EB4B5A">
            <w:pPr>
              <w:jc w:val="center"/>
            </w:pPr>
            <w:proofErr w:type="spellStart"/>
            <w:r w:rsidRPr="00EB4B5A">
              <w:t>ref</w:t>
            </w:r>
            <w:proofErr w:type="spellEnd"/>
          </w:p>
        </w:tc>
        <w:tc>
          <w:tcPr>
            <w:tcW w:w="665" w:type="dxa"/>
          </w:tcPr>
          <w:p w14:paraId="568105F9" w14:textId="77777777" w:rsidR="00EB4B5A" w:rsidRPr="00EB4B5A" w:rsidRDefault="00EB4B5A" w:rsidP="00EB4B5A">
            <w:pPr>
              <w:jc w:val="center"/>
            </w:pPr>
            <w:r w:rsidRPr="00EB4B5A">
              <w:t>0.87 (0.77-1)</w:t>
            </w:r>
          </w:p>
        </w:tc>
        <w:tc>
          <w:tcPr>
            <w:tcW w:w="955" w:type="dxa"/>
          </w:tcPr>
          <w:p w14:paraId="2ECF173F" w14:textId="77777777" w:rsidR="00EB4B5A" w:rsidRPr="00EB4B5A" w:rsidRDefault="00EB4B5A" w:rsidP="00EB4B5A">
            <w:pPr>
              <w:jc w:val="center"/>
            </w:pPr>
            <w:r w:rsidRPr="00EB4B5A">
              <w:t>1.28 (1.01-1.62)</w:t>
            </w:r>
          </w:p>
        </w:tc>
      </w:tr>
      <w:tr w:rsidR="00EB4B5A" w:rsidRPr="00EB4B5A" w14:paraId="05FBD379" w14:textId="77777777" w:rsidTr="00365C12">
        <w:trPr>
          <w:jc w:val="center"/>
        </w:trPr>
        <w:tc>
          <w:tcPr>
            <w:tcW w:w="1374" w:type="dxa"/>
          </w:tcPr>
          <w:p w14:paraId="0C2B40C4" w14:textId="77777777" w:rsidR="00EB4B5A" w:rsidRPr="00EB4B5A" w:rsidRDefault="00EB4B5A" w:rsidP="00EB4B5A">
            <w:pPr>
              <w:spacing w:after="160" w:line="259" w:lineRule="auto"/>
              <w:jc w:val="center"/>
            </w:pPr>
          </w:p>
        </w:tc>
        <w:tc>
          <w:tcPr>
            <w:tcW w:w="1173" w:type="dxa"/>
          </w:tcPr>
          <w:p w14:paraId="72605FB7" w14:textId="77777777" w:rsidR="00EB4B5A" w:rsidRPr="00EB4B5A" w:rsidRDefault="00EB4B5A" w:rsidP="00EB4B5A">
            <w:pPr>
              <w:spacing w:after="160" w:line="259" w:lineRule="auto"/>
              <w:jc w:val="center"/>
            </w:pPr>
            <w:proofErr w:type="spellStart"/>
            <w:r w:rsidRPr="00EB4B5A">
              <w:t>Denmark</w:t>
            </w:r>
            <w:proofErr w:type="spellEnd"/>
          </w:p>
        </w:tc>
        <w:tc>
          <w:tcPr>
            <w:tcW w:w="653" w:type="dxa"/>
          </w:tcPr>
          <w:p w14:paraId="7644D861"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4A2DE677" w14:textId="77777777" w:rsidR="00EB4B5A" w:rsidRPr="00EB4B5A" w:rsidRDefault="00EB4B5A" w:rsidP="00EB4B5A">
            <w:pPr>
              <w:jc w:val="center"/>
            </w:pPr>
            <w:r w:rsidRPr="00EB4B5A">
              <w:t>0.81 (0.69-0.96)</w:t>
            </w:r>
          </w:p>
        </w:tc>
        <w:tc>
          <w:tcPr>
            <w:tcW w:w="665" w:type="dxa"/>
          </w:tcPr>
          <w:p w14:paraId="5DEF4C5A" w14:textId="77777777" w:rsidR="00EB4B5A" w:rsidRPr="00EB4B5A" w:rsidRDefault="00EB4B5A" w:rsidP="00EB4B5A">
            <w:pPr>
              <w:jc w:val="center"/>
            </w:pPr>
            <w:r w:rsidRPr="00EB4B5A">
              <w:t>0.35 (0.22-0.57)</w:t>
            </w:r>
          </w:p>
        </w:tc>
        <w:tc>
          <w:tcPr>
            <w:tcW w:w="652" w:type="dxa"/>
          </w:tcPr>
          <w:p w14:paraId="405112D4" w14:textId="77777777" w:rsidR="00EB4B5A" w:rsidRPr="00EB4B5A" w:rsidRDefault="00EB4B5A" w:rsidP="00EB4B5A">
            <w:pPr>
              <w:jc w:val="center"/>
            </w:pPr>
            <w:proofErr w:type="spellStart"/>
            <w:r w:rsidRPr="00EB4B5A">
              <w:t>ref</w:t>
            </w:r>
            <w:proofErr w:type="spellEnd"/>
          </w:p>
        </w:tc>
        <w:tc>
          <w:tcPr>
            <w:tcW w:w="665" w:type="dxa"/>
          </w:tcPr>
          <w:p w14:paraId="014C2BB5" w14:textId="77777777" w:rsidR="00EB4B5A" w:rsidRPr="00EB4B5A" w:rsidRDefault="00EB4B5A" w:rsidP="00EB4B5A">
            <w:pPr>
              <w:jc w:val="center"/>
            </w:pPr>
            <w:r w:rsidRPr="00EB4B5A">
              <w:t>0.7 (0.58-0.84)</w:t>
            </w:r>
          </w:p>
        </w:tc>
        <w:tc>
          <w:tcPr>
            <w:tcW w:w="665" w:type="dxa"/>
          </w:tcPr>
          <w:p w14:paraId="62356650" w14:textId="77777777" w:rsidR="00EB4B5A" w:rsidRPr="00EB4B5A" w:rsidRDefault="00EB4B5A" w:rsidP="00EB4B5A">
            <w:pPr>
              <w:jc w:val="center"/>
            </w:pPr>
            <w:r w:rsidRPr="00EB4B5A">
              <w:t>0.43 (0.25-0.76)</w:t>
            </w:r>
          </w:p>
        </w:tc>
        <w:tc>
          <w:tcPr>
            <w:tcW w:w="652" w:type="dxa"/>
          </w:tcPr>
          <w:p w14:paraId="35A307AC" w14:textId="77777777" w:rsidR="00EB4B5A" w:rsidRPr="00EB4B5A" w:rsidRDefault="00EB4B5A" w:rsidP="00EB4B5A">
            <w:pPr>
              <w:jc w:val="center"/>
            </w:pPr>
            <w:proofErr w:type="spellStart"/>
            <w:r w:rsidRPr="00EB4B5A">
              <w:t>ref</w:t>
            </w:r>
            <w:proofErr w:type="spellEnd"/>
          </w:p>
        </w:tc>
        <w:tc>
          <w:tcPr>
            <w:tcW w:w="665" w:type="dxa"/>
          </w:tcPr>
          <w:p w14:paraId="4A6A130C" w14:textId="77777777" w:rsidR="00EB4B5A" w:rsidRPr="00EB4B5A" w:rsidRDefault="00EB4B5A" w:rsidP="00EB4B5A">
            <w:pPr>
              <w:jc w:val="center"/>
            </w:pPr>
            <w:r w:rsidRPr="00EB4B5A">
              <w:t>0.75 (0.65-0.88)</w:t>
            </w:r>
          </w:p>
        </w:tc>
        <w:tc>
          <w:tcPr>
            <w:tcW w:w="955" w:type="dxa"/>
          </w:tcPr>
          <w:p w14:paraId="62698AB9" w14:textId="77777777" w:rsidR="00EB4B5A" w:rsidRPr="00EB4B5A" w:rsidRDefault="00EB4B5A" w:rsidP="00EB4B5A">
            <w:pPr>
              <w:jc w:val="center"/>
            </w:pPr>
            <w:r w:rsidRPr="00EB4B5A">
              <w:t>0.51 (0.32-0.82)</w:t>
            </w:r>
          </w:p>
        </w:tc>
      </w:tr>
      <w:tr w:rsidR="00EB4B5A" w:rsidRPr="00EB4B5A" w14:paraId="5AA9EFD2" w14:textId="77777777" w:rsidTr="00365C12">
        <w:trPr>
          <w:jc w:val="center"/>
        </w:trPr>
        <w:tc>
          <w:tcPr>
            <w:tcW w:w="1374" w:type="dxa"/>
          </w:tcPr>
          <w:p w14:paraId="28EC6A87" w14:textId="77777777" w:rsidR="00EB4B5A" w:rsidRPr="00EB4B5A" w:rsidRDefault="00EB4B5A" w:rsidP="00EB4B5A">
            <w:pPr>
              <w:spacing w:after="160" w:line="259" w:lineRule="auto"/>
              <w:jc w:val="center"/>
            </w:pPr>
          </w:p>
        </w:tc>
        <w:tc>
          <w:tcPr>
            <w:tcW w:w="1173" w:type="dxa"/>
          </w:tcPr>
          <w:p w14:paraId="10BF7EE8" w14:textId="77777777" w:rsidR="00EB4B5A" w:rsidRPr="00EB4B5A" w:rsidRDefault="00EB4B5A" w:rsidP="00EB4B5A">
            <w:pPr>
              <w:spacing w:after="160" w:line="259" w:lineRule="auto"/>
              <w:jc w:val="center"/>
            </w:pPr>
            <w:proofErr w:type="spellStart"/>
            <w:r w:rsidRPr="00EB4B5A">
              <w:t>Finland</w:t>
            </w:r>
            <w:proofErr w:type="spellEnd"/>
          </w:p>
        </w:tc>
        <w:tc>
          <w:tcPr>
            <w:tcW w:w="653" w:type="dxa"/>
          </w:tcPr>
          <w:p w14:paraId="1D745729"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1340814F" w14:textId="77777777" w:rsidR="00EB4B5A" w:rsidRPr="00EB4B5A" w:rsidRDefault="00EB4B5A" w:rsidP="00EB4B5A">
            <w:pPr>
              <w:jc w:val="center"/>
            </w:pPr>
            <w:r w:rsidRPr="00EB4B5A">
              <w:t>0.74 (0.63-0.87)</w:t>
            </w:r>
          </w:p>
        </w:tc>
        <w:tc>
          <w:tcPr>
            <w:tcW w:w="665" w:type="dxa"/>
          </w:tcPr>
          <w:p w14:paraId="2CAD7D21" w14:textId="77777777" w:rsidR="00EB4B5A" w:rsidRPr="00EB4B5A" w:rsidRDefault="00EB4B5A" w:rsidP="00EB4B5A">
            <w:pPr>
              <w:jc w:val="center"/>
            </w:pPr>
            <w:r w:rsidRPr="00EB4B5A">
              <w:t>0.79 (0.38-1.64)</w:t>
            </w:r>
          </w:p>
        </w:tc>
        <w:tc>
          <w:tcPr>
            <w:tcW w:w="652" w:type="dxa"/>
          </w:tcPr>
          <w:p w14:paraId="16A63521" w14:textId="77777777" w:rsidR="00EB4B5A" w:rsidRPr="00EB4B5A" w:rsidRDefault="00EB4B5A" w:rsidP="00EB4B5A">
            <w:pPr>
              <w:jc w:val="center"/>
            </w:pPr>
            <w:proofErr w:type="spellStart"/>
            <w:r w:rsidRPr="00EB4B5A">
              <w:t>ref</w:t>
            </w:r>
            <w:proofErr w:type="spellEnd"/>
          </w:p>
        </w:tc>
        <w:tc>
          <w:tcPr>
            <w:tcW w:w="665" w:type="dxa"/>
          </w:tcPr>
          <w:p w14:paraId="0150FA2D" w14:textId="77777777" w:rsidR="00EB4B5A" w:rsidRPr="00EB4B5A" w:rsidRDefault="00EB4B5A" w:rsidP="00EB4B5A">
            <w:pPr>
              <w:jc w:val="center"/>
            </w:pPr>
            <w:r w:rsidRPr="00EB4B5A">
              <w:t>0.69 (0.56-0.85)</w:t>
            </w:r>
          </w:p>
        </w:tc>
        <w:tc>
          <w:tcPr>
            <w:tcW w:w="665" w:type="dxa"/>
          </w:tcPr>
          <w:p w14:paraId="1A9A32E4" w14:textId="77777777" w:rsidR="00EB4B5A" w:rsidRPr="00EB4B5A" w:rsidRDefault="00EB4B5A" w:rsidP="00EB4B5A">
            <w:pPr>
              <w:jc w:val="center"/>
            </w:pPr>
            <w:r w:rsidRPr="00EB4B5A">
              <w:t>0.34 (0.17-0.68)</w:t>
            </w:r>
          </w:p>
        </w:tc>
        <w:tc>
          <w:tcPr>
            <w:tcW w:w="652" w:type="dxa"/>
          </w:tcPr>
          <w:p w14:paraId="289F248E" w14:textId="77777777" w:rsidR="00EB4B5A" w:rsidRPr="00EB4B5A" w:rsidRDefault="00EB4B5A" w:rsidP="00EB4B5A">
            <w:pPr>
              <w:jc w:val="center"/>
            </w:pPr>
            <w:proofErr w:type="spellStart"/>
            <w:r w:rsidRPr="00EB4B5A">
              <w:t>ref</w:t>
            </w:r>
            <w:proofErr w:type="spellEnd"/>
          </w:p>
        </w:tc>
        <w:tc>
          <w:tcPr>
            <w:tcW w:w="665" w:type="dxa"/>
          </w:tcPr>
          <w:p w14:paraId="7C4A24C0" w14:textId="77777777" w:rsidR="00EB4B5A" w:rsidRPr="00EB4B5A" w:rsidRDefault="00EB4B5A" w:rsidP="00EB4B5A">
            <w:pPr>
              <w:jc w:val="center"/>
            </w:pPr>
            <w:r w:rsidRPr="00EB4B5A">
              <w:t>0.86 (0.71-1.04)</w:t>
            </w:r>
          </w:p>
        </w:tc>
        <w:tc>
          <w:tcPr>
            <w:tcW w:w="955" w:type="dxa"/>
          </w:tcPr>
          <w:p w14:paraId="4370D50B" w14:textId="77777777" w:rsidR="00EB4B5A" w:rsidRPr="00EB4B5A" w:rsidRDefault="00EB4B5A" w:rsidP="00EB4B5A">
            <w:pPr>
              <w:jc w:val="center"/>
            </w:pPr>
            <w:r w:rsidRPr="00EB4B5A">
              <w:t>0.97 (0.44-2.13)</w:t>
            </w:r>
          </w:p>
        </w:tc>
      </w:tr>
      <w:tr w:rsidR="00EB4B5A" w:rsidRPr="00EB4B5A" w14:paraId="661C11D6" w14:textId="77777777" w:rsidTr="00365C12">
        <w:trPr>
          <w:jc w:val="center"/>
        </w:trPr>
        <w:tc>
          <w:tcPr>
            <w:tcW w:w="1374" w:type="dxa"/>
          </w:tcPr>
          <w:p w14:paraId="4462298D" w14:textId="77777777" w:rsidR="00EB4B5A" w:rsidRPr="00EB4B5A" w:rsidRDefault="00EB4B5A" w:rsidP="00EB4B5A">
            <w:pPr>
              <w:spacing w:after="160" w:line="259" w:lineRule="auto"/>
              <w:jc w:val="center"/>
            </w:pPr>
          </w:p>
        </w:tc>
        <w:tc>
          <w:tcPr>
            <w:tcW w:w="1173" w:type="dxa"/>
          </w:tcPr>
          <w:p w14:paraId="04E0CD09" w14:textId="77777777" w:rsidR="00EB4B5A" w:rsidRPr="00EB4B5A" w:rsidRDefault="00EB4B5A" w:rsidP="00EB4B5A">
            <w:pPr>
              <w:spacing w:after="160" w:line="259" w:lineRule="auto"/>
              <w:jc w:val="center"/>
            </w:pPr>
            <w:r w:rsidRPr="00EB4B5A">
              <w:t>France</w:t>
            </w:r>
          </w:p>
        </w:tc>
        <w:tc>
          <w:tcPr>
            <w:tcW w:w="653" w:type="dxa"/>
          </w:tcPr>
          <w:p w14:paraId="3F267855"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41E33935" w14:textId="77777777" w:rsidR="00EB4B5A" w:rsidRPr="00EB4B5A" w:rsidRDefault="00EB4B5A" w:rsidP="00EB4B5A">
            <w:pPr>
              <w:jc w:val="center"/>
            </w:pPr>
            <w:r w:rsidRPr="00EB4B5A">
              <w:t>0.71 (0.63-0.8)</w:t>
            </w:r>
          </w:p>
        </w:tc>
        <w:tc>
          <w:tcPr>
            <w:tcW w:w="665" w:type="dxa"/>
          </w:tcPr>
          <w:p w14:paraId="45168869" w14:textId="77777777" w:rsidR="00EB4B5A" w:rsidRPr="00EB4B5A" w:rsidRDefault="00EB4B5A" w:rsidP="00EB4B5A">
            <w:pPr>
              <w:jc w:val="center"/>
            </w:pPr>
            <w:r w:rsidRPr="00EB4B5A">
              <w:t>0.56 (0.45-0.68)</w:t>
            </w:r>
          </w:p>
        </w:tc>
        <w:tc>
          <w:tcPr>
            <w:tcW w:w="652" w:type="dxa"/>
          </w:tcPr>
          <w:p w14:paraId="0C7BFC0A" w14:textId="77777777" w:rsidR="00EB4B5A" w:rsidRPr="00EB4B5A" w:rsidRDefault="00EB4B5A" w:rsidP="00EB4B5A">
            <w:pPr>
              <w:jc w:val="center"/>
            </w:pPr>
            <w:proofErr w:type="spellStart"/>
            <w:r w:rsidRPr="00EB4B5A">
              <w:t>ref</w:t>
            </w:r>
            <w:proofErr w:type="spellEnd"/>
          </w:p>
        </w:tc>
        <w:tc>
          <w:tcPr>
            <w:tcW w:w="665" w:type="dxa"/>
          </w:tcPr>
          <w:p w14:paraId="0B80C196" w14:textId="77777777" w:rsidR="00EB4B5A" w:rsidRPr="00EB4B5A" w:rsidRDefault="00EB4B5A" w:rsidP="00EB4B5A">
            <w:pPr>
              <w:jc w:val="center"/>
            </w:pPr>
            <w:r w:rsidRPr="00EB4B5A">
              <w:t>0.57 (0.49-0.67)</w:t>
            </w:r>
          </w:p>
        </w:tc>
        <w:tc>
          <w:tcPr>
            <w:tcW w:w="665" w:type="dxa"/>
          </w:tcPr>
          <w:p w14:paraId="658F4293" w14:textId="77777777" w:rsidR="00EB4B5A" w:rsidRPr="00EB4B5A" w:rsidRDefault="00EB4B5A" w:rsidP="00EB4B5A">
            <w:pPr>
              <w:jc w:val="center"/>
            </w:pPr>
            <w:r w:rsidRPr="00EB4B5A">
              <w:t>0.35 (0.28-0.44)</w:t>
            </w:r>
          </w:p>
        </w:tc>
        <w:tc>
          <w:tcPr>
            <w:tcW w:w="652" w:type="dxa"/>
          </w:tcPr>
          <w:p w14:paraId="43F9EC40" w14:textId="77777777" w:rsidR="00EB4B5A" w:rsidRPr="00EB4B5A" w:rsidRDefault="00EB4B5A" w:rsidP="00EB4B5A">
            <w:pPr>
              <w:jc w:val="center"/>
            </w:pPr>
            <w:proofErr w:type="spellStart"/>
            <w:r w:rsidRPr="00EB4B5A">
              <w:t>ref</w:t>
            </w:r>
            <w:proofErr w:type="spellEnd"/>
          </w:p>
        </w:tc>
        <w:tc>
          <w:tcPr>
            <w:tcW w:w="665" w:type="dxa"/>
          </w:tcPr>
          <w:p w14:paraId="65E92DD6" w14:textId="77777777" w:rsidR="00EB4B5A" w:rsidRPr="00EB4B5A" w:rsidRDefault="00EB4B5A" w:rsidP="00EB4B5A">
            <w:pPr>
              <w:jc w:val="center"/>
            </w:pPr>
            <w:r w:rsidRPr="00EB4B5A">
              <w:t>0.88 (0.74-1.04)</w:t>
            </w:r>
          </w:p>
        </w:tc>
        <w:tc>
          <w:tcPr>
            <w:tcW w:w="955" w:type="dxa"/>
          </w:tcPr>
          <w:p w14:paraId="3D905BBC" w14:textId="77777777" w:rsidR="00EB4B5A" w:rsidRPr="00EB4B5A" w:rsidRDefault="00EB4B5A" w:rsidP="00EB4B5A">
            <w:pPr>
              <w:jc w:val="center"/>
            </w:pPr>
            <w:r w:rsidRPr="00EB4B5A">
              <w:t>1.2 (0.9-1.59)</w:t>
            </w:r>
          </w:p>
        </w:tc>
      </w:tr>
      <w:tr w:rsidR="00EB4B5A" w:rsidRPr="00EB4B5A" w14:paraId="5ABD2803" w14:textId="77777777" w:rsidTr="00365C12">
        <w:trPr>
          <w:jc w:val="center"/>
        </w:trPr>
        <w:tc>
          <w:tcPr>
            <w:tcW w:w="1374" w:type="dxa"/>
          </w:tcPr>
          <w:p w14:paraId="5DE53713" w14:textId="77777777" w:rsidR="00EB4B5A" w:rsidRPr="00EB4B5A" w:rsidRDefault="00EB4B5A" w:rsidP="00EB4B5A">
            <w:pPr>
              <w:spacing w:after="160" w:line="259" w:lineRule="auto"/>
              <w:jc w:val="center"/>
            </w:pPr>
          </w:p>
        </w:tc>
        <w:tc>
          <w:tcPr>
            <w:tcW w:w="1173" w:type="dxa"/>
          </w:tcPr>
          <w:p w14:paraId="3D7EC92A" w14:textId="77777777" w:rsidR="00EB4B5A" w:rsidRPr="00EB4B5A" w:rsidRDefault="00EB4B5A" w:rsidP="00EB4B5A">
            <w:pPr>
              <w:spacing w:after="160" w:line="259" w:lineRule="auto"/>
              <w:jc w:val="center"/>
            </w:pPr>
            <w:proofErr w:type="spellStart"/>
            <w:r w:rsidRPr="00EB4B5A">
              <w:t>Greece</w:t>
            </w:r>
            <w:proofErr w:type="spellEnd"/>
          </w:p>
        </w:tc>
        <w:tc>
          <w:tcPr>
            <w:tcW w:w="653" w:type="dxa"/>
          </w:tcPr>
          <w:p w14:paraId="43F8345D"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3FDA10A" w14:textId="77777777" w:rsidR="00EB4B5A" w:rsidRPr="00EB4B5A" w:rsidRDefault="00EB4B5A" w:rsidP="00EB4B5A">
            <w:pPr>
              <w:jc w:val="center"/>
            </w:pPr>
            <w:r w:rsidRPr="00EB4B5A">
              <w:t>0.8 (0.71-0.89)</w:t>
            </w:r>
          </w:p>
        </w:tc>
        <w:tc>
          <w:tcPr>
            <w:tcW w:w="665" w:type="dxa"/>
          </w:tcPr>
          <w:p w14:paraId="5417BA86" w14:textId="77777777" w:rsidR="00EB4B5A" w:rsidRPr="00EB4B5A" w:rsidRDefault="00EB4B5A" w:rsidP="00EB4B5A">
            <w:pPr>
              <w:jc w:val="center"/>
            </w:pPr>
            <w:r w:rsidRPr="00EB4B5A">
              <w:t>0.61 (0.5-0.73)</w:t>
            </w:r>
          </w:p>
        </w:tc>
        <w:tc>
          <w:tcPr>
            <w:tcW w:w="652" w:type="dxa"/>
          </w:tcPr>
          <w:p w14:paraId="2D5B81DE" w14:textId="77777777" w:rsidR="00EB4B5A" w:rsidRPr="00EB4B5A" w:rsidRDefault="00EB4B5A" w:rsidP="00EB4B5A">
            <w:pPr>
              <w:jc w:val="center"/>
            </w:pPr>
            <w:proofErr w:type="spellStart"/>
            <w:r w:rsidRPr="00EB4B5A">
              <w:t>ref</w:t>
            </w:r>
            <w:proofErr w:type="spellEnd"/>
          </w:p>
        </w:tc>
        <w:tc>
          <w:tcPr>
            <w:tcW w:w="665" w:type="dxa"/>
          </w:tcPr>
          <w:p w14:paraId="2A91FDA9" w14:textId="77777777" w:rsidR="00EB4B5A" w:rsidRPr="00EB4B5A" w:rsidRDefault="00EB4B5A" w:rsidP="00EB4B5A">
            <w:pPr>
              <w:jc w:val="center"/>
            </w:pPr>
            <w:r w:rsidRPr="00EB4B5A">
              <w:t>0.74 (0.64-0.85)</w:t>
            </w:r>
          </w:p>
        </w:tc>
        <w:tc>
          <w:tcPr>
            <w:tcW w:w="665" w:type="dxa"/>
          </w:tcPr>
          <w:p w14:paraId="3DBD1855" w14:textId="77777777" w:rsidR="00EB4B5A" w:rsidRPr="00EB4B5A" w:rsidRDefault="00EB4B5A" w:rsidP="00EB4B5A">
            <w:pPr>
              <w:jc w:val="center"/>
            </w:pPr>
            <w:r w:rsidRPr="00EB4B5A">
              <w:t>0.46 (0.37-0.56)</w:t>
            </w:r>
          </w:p>
        </w:tc>
        <w:tc>
          <w:tcPr>
            <w:tcW w:w="652" w:type="dxa"/>
          </w:tcPr>
          <w:p w14:paraId="1A5B49DA" w14:textId="77777777" w:rsidR="00EB4B5A" w:rsidRPr="00EB4B5A" w:rsidRDefault="00EB4B5A" w:rsidP="00EB4B5A">
            <w:pPr>
              <w:jc w:val="center"/>
            </w:pPr>
            <w:proofErr w:type="spellStart"/>
            <w:r w:rsidRPr="00EB4B5A">
              <w:t>ref</w:t>
            </w:r>
            <w:proofErr w:type="spellEnd"/>
          </w:p>
        </w:tc>
        <w:tc>
          <w:tcPr>
            <w:tcW w:w="665" w:type="dxa"/>
          </w:tcPr>
          <w:p w14:paraId="3B2CE2EC" w14:textId="77777777" w:rsidR="00EB4B5A" w:rsidRPr="00EB4B5A" w:rsidRDefault="00EB4B5A" w:rsidP="00EB4B5A">
            <w:pPr>
              <w:jc w:val="center"/>
            </w:pPr>
            <w:r w:rsidRPr="00EB4B5A">
              <w:t>0.97 (0.83-1.12)</w:t>
            </w:r>
          </w:p>
        </w:tc>
        <w:tc>
          <w:tcPr>
            <w:tcW w:w="955" w:type="dxa"/>
          </w:tcPr>
          <w:p w14:paraId="440A5073" w14:textId="77777777" w:rsidR="00EB4B5A" w:rsidRPr="00EB4B5A" w:rsidRDefault="00EB4B5A" w:rsidP="00EB4B5A">
            <w:pPr>
              <w:jc w:val="center"/>
            </w:pPr>
            <w:r w:rsidRPr="00EB4B5A">
              <w:t>1.41 (1.13-1.76)</w:t>
            </w:r>
          </w:p>
        </w:tc>
      </w:tr>
      <w:tr w:rsidR="00EB4B5A" w:rsidRPr="00EB4B5A" w14:paraId="28F04DC8" w14:textId="77777777" w:rsidTr="00365C12">
        <w:trPr>
          <w:jc w:val="center"/>
        </w:trPr>
        <w:tc>
          <w:tcPr>
            <w:tcW w:w="1374" w:type="dxa"/>
          </w:tcPr>
          <w:p w14:paraId="25B4EBEF" w14:textId="77777777" w:rsidR="00EB4B5A" w:rsidRPr="00EB4B5A" w:rsidRDefault="00EB4B5A" w:rsidP="00EB4B5A">
            <w:pPr>
              <w:spacing w:after="160" w:line="259" w:lineRule="auto"/>
              <w:jc w:val="center"/>
            </w:pPr>
          </w:p>
        </w:tc>
        <w:tc>
          <w:tcPr>
            <w:tcW w:w="1173" w:type="dxa"/>
          </w:tcPr>
          <w:p w14:paraId="28CBF86E" w14:textId="77777777" w:rsidR="00EB4B5A" w:rsidRPr="00EB4B5A" w:rsidRDefault="00EB4B5A" w:rsidP="00EB4B5A">
            <w:pPr>
              <w:spacing w:after="160" w:line="259" w:lineRule="auto"/>
              <w:jc w:val="center"/>
            </w:pPr>
            <w:proofErr w:type="spellStart"/>
            <w:r w:rsidRPr="00EB4B5A">
              <w:t>Iceland</w:t>
            </w:r>
            <w:proofErr w:type="spellEnd"/>
          </w:p>
        </w:tc>
        <w:tc>
          <w:tcPr>
            <w:tcW w:w="653" w:type="dxa"/>
          </w:tcPr>
          <w:p w14:paraId="34066E2D"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75BD827F" w14:textId="77777777" w:rsidR="00EB4B5A" w:rsidRPr="00EB4B5A" w:rsidRDefault="00EB4B5A" w:rsidP="00EB4B5A">
            <w:pPr>
              <w:jc w:val="center"/>
            </w:pPr>
            <w:r w:rsidRPr="00EB4B5A">
              <w:t>0.72 (0.59-0.88)</w:t>
            </w:r>
          </w:p>
        </w:tc>
        <w:tc>
          <w:tcPr>
            <w:tcW w:w="665" w:type="dxa"/>
          </w:tcPr>
          <w:p w14:paraId="02442D4A" w14:textId="77777777" w:rsidR="00EB4B5A" w:rsidRPr="00EB4B5A" w:rsidRDefault="00EB4B5A" w:rsidP="00EB4B5A">
            <w:pPr>
              <w:jc w:val="center"/>
            </w:pPr>
            <w:r w:rsidRPr="00EB4B5A">
              <w:t>1.11 (0.57-2.17)</w:t>
            </w:r>
          </w:p>
        </w:tc>
        <w:tc>
          <w:tcPr>
            <w:tcW w:w="652" w:type="dxa"/>
          </w:tcPr>
          <w:p w14:paraId="0C8A19C5" w14:textId="77777777" w:rsidR="00EB4B5A" w:rsidRPr="00EB4B5A" w:rsidRDefault="00EB4B5A" w:rsidP="00EB4B5A">
            <w:pPr>
              <w:jc w:val="center"/>
            </w:pPr>
            <w:proofErr w:type="spellStart"/>
            <w:r w:rsidRPr="00EB4B5A">
              <w:t>ref</w:t>
            </w:r>
            <w:proofErr w:type="spellEnd"/>
          </w:p>
        </w:tc>
        <w:tc>
          <w:tcPr>
            <w:tcW w:w="665" w:type="dxa"/>
          </w:tcPr>
          <w:p w14:paraId="290B62A7" w14:textId="77777777" w:rsidR="00EB4B5A" w:rsidRPr="00EB4B5A" w:rsidRDefault="00EB4B5A" w:rsidP="00EB4B5A">
            <w:pPr>
              <w:jc w:val="center"/>
            </w:pPr>
            <w:r w:rsidRPr="00EB4B5A">
              <w:t>0.64 (0.5-0.81)</w:t>
            </w:r>
          </w:p>
        </w:tc>
        <w:tc>
          <w:tcPr>
            <w:tcW w:w="665" w:type="dxa"/>
          </w:tcPr>
          <w:p w14:paraId="34D46119" w14:textId="77777777" w:rsidR="00EB4B5A" w:rsidRPr="00EB4B5A" w:rsidRDefault="00EB4B5A" w:rsidP="00EB4B5A">
            <w:pPr>
              <w:jc w:val="center"/>
            </w:pPr>
            <w:r w:rsidRPr="00EB4B5A">
              <w:t>0.82 (0.39-1.71)</w:t>
            </w:r>
          </w:p>
        </w:tc>
        <w:tc>
          <w:tcPr>
            <w:tcW w:w="652" w:type="dxa"/>
          </w:tcPr>
          <w:p w14:paraId="529DCEC4" w14:textId="77777777" w:rsidR="00EB4B5A" w:rsidRPr="00EB4B5A" w:rsidRDefault="00EB4B5A" w:rsidP="00EB4B5A">
            <w:pPr>
              <w:jc w:val="center"/>
            </w:pPr>
            <w:proofErr w:type="spellStart"/>
            <w:r w:rsidRPr="00EB4B5A">
              <w:t>ref</w:t>
            </w:r>
            <w:proofErr w:type="spellEnd"/>
          </w:p>
        </w:tc>
        <w:tc>
          <w:tcPr>
            <w:tcW w:w="665" w:type="dxa"/>
          </w:tcPr>
          <w:p w14:paraId="0B120CC3" w14:textId="77777777" w:rsidR="00EB4B5A" w:rsidRPr="00EB4B5A" w:rsidRDefault="00EB4B5A" w:rsidP="00EB4B5A">
            <w:pPr>
              <w:jc w:val="center"/>
            </w:pPr>
            <w:r w:rsidRPr="00EB4B5A">
              <w:t>0.7 (0.58-0.86)</w:t>
            </w:r>
          </w:p>
        </w:tc>
        <w:tc>
          <w:tcPr>
            <w:tcW w:w="955" w:type="dxa"/>
          </w:tcPr>
          <w:p w14:paraId="4E803EA6" w14:textId="77777777" w:rsidR="00EB4B5A" w:rsidRPr="00EB4B5A" w:rsidRDefault="00EB4B5A" w:rsidP="00EB4B5A">
            <w:pPr>
              <w:jc w:val="center"/>
            </w:pPr>
            <w:r w:rsidRPr="00EB4B5A">
              <w:t>1.36 (0.8-2.33)</w:t>
            </w:r>
          </w:p>
        </w:tc>
      </w:tr>
      <w:tr w:rsidR="00EB4B5A" w:rsidRPr="00EB4B5A" w14:paraId="17DCE1A5" w14:textId="77777777" w:rsidTr="00365C12">
        <w:trPr>
          <w:jc w:val="center"/>
        </w:trPr>
        <w:tc>
          <w:tcPr>
            <w:tcW w:w="1374" w:type="dxa"/>
          </w:tcPr>
          <w:p w14:paraId="25E4C594" w14:textId="77777777" w:rsidR="00EB4B5A" w:rsidRPr="00EB4B5A" w:rsidRDefault="00EB4B5A" w:rsidP="00EB4B5A">
            <w:pPr>
              <w:spacing w:after="160" w:line="259" w:lineRule="auto"/>
              <w:jc w:val="center"/>
            </w:pPr>
          </w:p>
        </w:tc>
        <w:tc>
          <w:tcPr>
            <w:tcW w:w="1173" w:type="dxa"/>
          </w:tcPr>
          <w:p w14:paraId="547C8306" w14:textId="77777777" w:rsidR="00EB4B5A" w:rsidRPr="00EB4B5A" w:rsidRDefault="00EB4B5A" w:rsidP="00EB4B5A">
            <w:pPr>
              <w:spacing w:after="160" w:line="259" w:lineRule="auto"/>
              <w:jc w:val="center"/>
            </w:pPr>
            <w:proofErr w:type="spellStart"/>
            <w:r w:rsidRPr="00EB4B5A">
              <w:t>Ireland</w:t>
            </w:r>
            <w:proofErr w:type="spellEnd"/>
          </w:p>
        </w:tc>
        <w:tc>
          <w:tcPr>
            <w:tcW w:w="653" w:type="dxa"/>
          </w:tcPr>
          <w:p w14:paraId="47BB693A"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7BC0AD0F" w14:textId="77777777" w:rsidR="00EB4B5A" w:rsidRPr="00EB4B5A" w:rsidRDefault="00EB4B5A" w:rsidP="00EB4B5A">
            <w:pPr>
              <w:jc w:val="center"/>
            </w:pPr>
            <w:r w:rsidRPr="00EB4B5A">
              <w:t>0.62 (0.53-0.72)</w:t>
            </w:r>
          </w:p>
        </w:tc>
        <w:tc>
          <w:tcPr>
            <w:tcW w:w="665" w:type="dxa"/>
          </w:tcPr>
          <w:p w14:paraId="29BC143C" w14:textId="77777777" w:rsidR="00EB4B5A" w:rsidRPr="00EB4B5A" w:rsidRDefault="00EB4B5A" w:rsidP="00EB4B5A">
            <w:pPr>
              <w:jc w:val="center"/>
            </w:pPr>
            <w:r w:rsidRPr="00EB4B5A">
              <w:t>0.4 (0.31-0.5)</w:t>
            </w:r>
          </w:p>
        </w:tc>
        <w:tc>
          <w:tcPr>
            <w:tcW w:w="652" w:type="dxa"/>
          </w:tcPr>
          <w:p w14:paraId="2F60F7F9" w14:textId="77777777" w:rsidR="00EB4B5A" w:rsidRPr="00EB4B5A" w:rsidRDefault="00EB4B5A" w:rsidP="00EB4B5A">
            <w:pPr>
              <w:jc w:val="center"/>
            </w:pPr>
            <w:proofErr w:type="spellStart"/>
            <w:r w:rsidRPr="00EB4B5A">
              <w:t>ref</w:t>
            </w:r>
            <w:proofErr w:type="spellEnd"/>
          </w:p>
        </w:tc>
        <w:tc>
          <w:tcPr>
            <w:tcW w:w="665" w:type="dxa"/>
          </w:tcPr>
          <w:p w14:paraId="3615CB72" w14:textId="77777777" w:rsidR="00EB4B5A" w:rsidRPr="00EB4B5A" w:rsidRDefault="00EB4B5A" w:rsidP="00EB4B5A">
            <w:pPr>
              <w:jc w:val="center"/>
            </w:pPr>
            <w:r w:rsidRPr="00EB4B5A">
              <w:t>0.66 (0.56-0.79)</w:t>
            </w:r>
          </w:p>
        </w:tc>
        <w:tc>
          <w:tcPr>
            <w:tcW w:w="665" w:type="dxa"/>
          </w:tcPr>
          <w:p w14:paraId="7D2AB2E5" w14:textId="77777777" w:rsidR="00EB4B5A" w:rsidRPr="00EB4B5A" w:rsidRDefault="00EB4B5A" w:rsidP="00EB4B5A">
            <w:pPr>
              <w:jc w:val="center"/>
            </w:pPr>
            <w:r w:rsidRPr="00EB4B5A">
              <w:t>0.29 (0.23-0.38)</w:t>
            </w:r>
          </w:p>
        </w:tc>
        <w:tc>
          <w:tcPr>
            <w:tcW w:w="652" w:type="dxa"/>
          </w:tcPr>
          <w:p w14:paraId="6A1DFD44" w14:textId="77777777" w:rsidR="00EB4B5A" w:rsidRPr="00EB4B5A" w:rsidRDefault="00EB4B5A" w:rsidP="00EB4B5A">
            <w:pPr>
              <w:jc w:val="center"/>
            </w:pPr>
            <w:proofErr w:type="spellStart"/>
            <w:r w:rsidRPr="00EB4B5A">
              <w:t>ref</w:t>
            </w:r>
            <w:proofErr w:type="spellEnd"/>
          </w:p>
        </w:tc>
        <w:tc>
          <w:tcPr>
            <w:tcW w:w="665" w:type="dxa"/>
          </w:tcPr>
          <w:p w14:paraId="1B8A0022" w14:textId="77777777" w:rsidR="00EB4B5A" w:rsidRPr="00EB4B5A" w:rsidRDefault="00EB4B5A" w:rsidP="00EB4B5A">
            <w:pPr>
              <w:jc w:val="center"/>
            </w:pPr>
            <w:r w:rsidRPr="00EB4B5A">
              <w:t>0.76 (0.62-0.94)</w:t>
            </w:r>
          </w:p>
        </w:tc>
        <w:tc>
          <w:tcPr>
            <w:tcW w:w="955" w:type="dxa"/>
          </w:tcPr>
          <w:p w14:paraId="1833D772" w14:textId="77777777" w:rsidR="00EB4B5A" w:rsidRPr="00EB4B5A" w:rsidRDefault="00EB4B5A" w:rsidP="00EB4B5A">
            <w:pPr>
              <w:jc w:val="center"/>
            </w:pPr>
            <w:r w:rsidRPr="00EB4B5A">
              <w:t>0.95 (0.68-1.33)</w:t>
            </w:r>
          </w:p>
        </w:tc>
      </w:tr>
      <w:tr w:rsidR="00EB4B5A" w:rsidRPr="00EB4B5A" w14:paraId="23B08697" w14:textId="77777777" w:rsidTr="00365C12">
        <w:trPr>
          <w:jc w:val="center"/>
        </w:trPr>
        <w:tc>
          <w:tcPr>
            <w:tcW w:w="1374" w:type="dxa"/>
          </w:tcPr>
          <w:p w14:paraId="0FC93762" w14:textId="77777777" w:rsidR="00EB4B5A" w:rsidRPr="00EB4B5A" w:rsidRDefault="00EB4B5A" w:rsidP="00EB4B5A">
            <w:pPr>
              <w:spacing w:after="160" w:line="259" w:lineRule="auto"/>
              <w:jc w:val="center"/>
            </w:pPr>
          </w:p>
        </w:tc>
        <w:tc>
          <w:tcPr>
            <w:tcW w:w="1173" w:type="dxa"/>
          </w:tcPr>
          <w:p w14:paraId="355E662C" w14:textId="77777777" w:rsidR="00EB4B5A" w:rsidRPr="00EB4B5A" w:rsidRDefault="00EB4B5A" w:rsidP="00EB4B5A">
            <w:pPr>
              <w:spacing w:after="160" w:line="259" w:lineRule="auto"/>
              <w:jc w:val="center"/>
            </w:pPr>
            <w:proofErr w:type="spellStart"/>
            <w:r w:rsidRPr="00EB4B5A">
              <w:t>Italy</w:t>
            </w:r>
            <w:proofErr w:type="spellEnd"/>
          </w:p>
        </w:tc>
        <w:tc>
          <w:tcPr>
            <w:tcW w:w="653" w:type="dxa"/>
          </w:tcPr>
          <w:p w14:paraId="018268F9"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0301DAC6" w14:textId="77777777" w:rsidR="00EB4B5A" w:rsidRPr="00EB4B5A" w:rsidRDefault="00EB4B5A" w:rsidP="00EB4B5A">
            <w:pPr>
              <w:jc w:val="center"/>
            </w:pPr>
            <w:r w:rsidRPr="00EB4B5A">
              <w:t>0.78 (0.71-0.86)</w:t>
            </w:r>
          </w:p>
        </w:tc>
        <w:tc>
          <w:tcPr>
            <w:tcW w:w="665" w:type="dxa"/>
          </w:tcPr>
          <w:p w14:paraId="793287E3" w14:textId="77777777" w:rsidR="00EB4B5A" w:rsidRPr="00EB4B5A" w:rsidRDefault="00EB4B5A" w:rsidP="00EB4B5A">
            <w:pPr>
              <w:jc w:val="center"/>
            </w:pPr>
            <w:r w:rsidRPr="00EB4B5A">
              <w:t>0.63 (0.55-0.72)</w:t>
            </w:r>
          </w:p>
        </w:tc>
        <w:tc>
          <w:tcPr>
            <w:tcW w:w="652" w:type="dxa"/>
          </w:tcPr>
          <w:p w14:paraId="22941061" w14:textId="77777777" w:rsidR="00EB4B5A" w:rsidRPr="00EB4B5A" w:rsidRDefault="00EB4B5A" w:rsidP="00EB4B5A">
            <w:pPr>
              <w:jc w:val="center"/>
            </w:pPr>
            <w:proofErr w:type="spellStart"/>
            <w:r w:rsidRPr="00EB4B5A">
              <w:t>ref</w:t>
            </w:r>
            <w:proofErr w:type="spellEnd"/>
          </w:p>
        </w:tc>
        <w:tc>
          <w:tcPr>
            <w:tcW w:w="665" w:type="dxa"/>
          </w:tcPr>
          <w:p w14:paraId="25451C9A" w14:textId="77777777" w:rsidR="00EB4B5A" w:rsidRPr="00EB4B5A" w:rsidRDefault="00EB4B5A" w:rsidP="00EB4B5A">
            <w:pPr>
              <w:jc w:val="center"/>
            </w:pPr>
            <w:r w:rsidRPr="00EB4B5A">
              <w:t>0.77 (0.7-0.84)</w:t>
            </w:r>
          </w:p>
        </w:tc>
        <w:tc>
          <w:tcPr>
            <w:tcW w:w="665" w:type="dxa"/>
          </w:tcPr>
          <w:p w14:paraId="6766FEBC" w14:textId="77777777" w:rsidR="00EB4B5A" w:rsidRPr="00EB4B5A" w:rsidRDefault="00EB4B5A" w:rsidP="00EB4B5A">
            <w:pPr>
              <w:jc w:val="center"/>
            </w:pPr>
            <w:r w:rsidRPr="00EB4B5A">
              <w:t>0.58 (0.5-0.67)</w:t>
            </w:r>
          </w:p>
        </w:tc>
        <w:tc>
          <w:tcPr>
            <w:tcW w:w="652" w:type="dxa"/>
          </w:tcPr>
          <w:p w14:paraId="75475460" w14:textId="77777777" w:rsidR="00EB4B5A" w:rsidRPr="00EB4B5A" w:rsidRDefault="00EB4B5A" w:rsidP="00EB4B5A">
            <w:pPr>
              <w:jc w:val="center"/>
            </w:pPr>
            <w:proofErr w:type="spellStart"/>
            <w:r w:rsidRPr="00EB4B5A">
              <w:t>ref</w:t>
            </w:r>
            <w:proofErr w:type="spellEnd"/>
          </w:p>
        </w:tc>
        <w:tc>
          <w:tcPr>
            <w:tcW w:w="665" w:type="dxa"/>
          </w:tcPr>
          <w:p w14:paraId="4C7CDE29" w14:textId="77777777" w:rsidR="00EB4B5A" w:rsidRPr="00EB4B5A" w:rsidRDefault="00EB4B5A" w:rsidP="00EB4B5A">
            <w:pPr>
              <w:jc w:val="center"/>
            </w:pPr>
            <w:r w:rsidRPr="00EB4B5A">
              <w:t>0.77 (0.7-0.86)</w:t>
            </w:r>
          </w:p>
        </w:tc>
        <w:tc>
          <w:tcPr>
            <w:tcW w:w="955" w:type="dxa"/>
          </w:tcPr>
          <w:p w14:paraId="6D63AB53" w14:textId="77777777" w:rsidR="00EB4B5A" w:rsidRPr="00EB4B5A" w:rsidRDefault="00EB4B5A" w:rsidP="00EB4B5A">
            <w:pPr>
              <w:jc w:val="center"/>
            </w:pPr>
            <w:r w:rsidRPr="00EB4B5A">
              <w:t>0.84 (0.72-0.98)</w:t>
            </w:r>
          </w:p>
        </w:tc>
      </w:tr>
      <w:tr w:rsidR="00EB4B5A" w:rsidRPr="00EB4B5A" w14:paraId="3F9B4318" w14:textId="77777777" w:rsidTr="00365C12">
        <w:trPr>
          <w:jc w:val="center"/>
        </w:trPr>
        <w:tc>
          <w:tcPr>
            <w:tcW w:w="1374" w:type="dxa"/>
          </w:tcPr>
          <w:p w14:paraId="46281703" w14:textId="77777777" w:rsidR="00EB4B5A" w:rsidRPr="00EB4B5A" w:rsidRDefault="00EB4B5A" w:rsidP="00EB4B5A">
            <w:pPr>
              <w:spacing w:after="160" w:line="259" w:lineRule="auto"/>
              <w:jc w:val="center"/>
            </w:pPr>
          </w:p>
        </w:tc>
        <w:tc>
          <w:tcPr>
            <w:tcW w:w="1173" w:type="dxa"/>
          </w:tcPr>
          <w:p w14:paraId="0B07A4DC" w14:textId="77777777" w:rsidR="00EB4B5A" w:rsidRPr="00EB4B5A" w:rsidRDefault="00EB4B5A" w:rsidP="00EB4B5A">
            <w:pPr>
              <w:spacing w:after="160" w:line="259" w:lineRule="auto"/>
              <w:jc w:val="center"/>
            </w:pPr>
            <w:proofErr w:type="spellStart"/>
            <w:r w:rsidRPr="00EB4B5A">
              <w:t>Luxembourg</w:t>
            </w:r>
            <w:proofErr w:type="spellEnd"/>
          </w:p>
        </w:tc>
        <w:tc>
          <w:tcPr>
            <w:tcW w:w="653" w:type="dxa"/>
          </w:tcPr>
          <w:p w14:paraId="3F4C4C6F"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6D1D2739" w14:textId="77777777" w:rsidR="00EB4B5A" w:rsidRPr="00EB4B5A" w:rsidRDefault="00EB4B5A" w:rsidP="00EB4B5A">
            <w:pPr>
              <w:jc w:val="center"/>
            </w:pPr>
            <w:r w:rsidRPr="00EB4B5A">
              <w:t>0.73 (0.63-0.85)</w:t>
            </w:r>
          </w:p>
        </w:tc>
        <w:tc>
          <w:tcPr>
            <w:tcW w:w="665" w:type="dxa"/>
          </w:tcPr>
          <w:p w14:paraId="12769AF0" w14:textId="77777777" w:rsidR="00EB4B5A" w:rsidRPr="00EB4B5A" w:rsidRDefault="00EB4B5A" w:rsidP="00EB4B5A">
            <w:pPr>
              <w:jc w:val="center"/>
            </w:pPr>
            <w:r w:rsidRPr="00EB4B5A">
              <w:t>0.63 (0.49-0.8)</w:t>
            </w:r>
          </w:p>
        </w:tc>
        <w:tc>
          <w:tcPr>
            <w:tcW w:w="652" w:type="dxa"/>
          </w:tcPr>
          <w:p w14:paraId="6B22ABF2" w14:textId="77777777" w:rsidR="00EB4B5A" w:rsidRPr="00EB4B5A" w:rsidRDefault="00EB4B5A" w:rsidP="00EB4B5A">
            <w:pPr>
              <w:jc w:val="center"/>
            </w:pPr>
            <w:proofErr w:type="spellStart"/>
            <w:r w:rsidRPr="00EB4B5A">
              <w:t>ref</w:t>
            </w:r>
            <w:proofErr w:type="spellEnd"/>
          </w:p>
        </w:tc>
        <w:tc>
          <w:tcPr>
            <w:tcW w:w="665" w:type="dxa"/>
          </w:tcPr>
          <w:p w14:paraId="2C2B5D0C" w14:textId="77777777" w:rsidR="00EB4B5A" w:rsidRPr="00EB4B5A" w:rsidRDefault="00EB4B5A" w:rsidP="00EB4B5A">
            <w:pPr>
              <w:jc w:val="center"/>
            </w:pPr>
            <w:r w:rsidRPr="00EB4B5A">
              <w:t>0.74 (0.62-0.9)</w:t>
            </w:r>
          </w:p>
        </w:tc>
        <w:tc>
          <w:tcPr>
            <w:tcW w:w="665" w:type="dxa"/>
          </w:tcPr>
          <w:p w14:paraId="169D7233" w14:textId="77777777" w:rsidR="00EB4B5A" w:rsidRPr="00EB4B5A" w:rsidRDefault="00EB4B5A" w:rsidP="00EB4B5A">
            <w:pPr>
              <w:jc w:val="center"/>
            </w:pPr>
            <w:r w:rsidRPr="00EB4B5A">
              <w:t>0.43 (0.33-0.55)</w:t>
            </w:r>
          </w:p>
        </w:tc>
        <w:tc>
          <w:tcPr>
            <w:tcW w:w="652" w:type="dxa"/>
          </w:tcPr>
          <w:p w14:paraId="3132C407" w14:textId="77777777" w:rsidR="00EB4B5A" w:rsidRPr="00EB4B5A" w:rsidRDefault="00EB4B5A" w:rsidP="00EB4B5A">
            <w:pPr>
              <w:jc w:val="center"/>
            </w:pPr>
            <w:proofErr w:type="spellStart"/>
            <w:r w:rsidRPr="00EB4B5A">
              <w:t>ref</w:t>
            </w:r>
            <w:proofErr w:type="spellEnd"/>
          </w:p>
        </w:tc>
        <w:tc>
          <w:tcPr>
            <w:tcW w:w="665" w:type="dxa"/>
          </w:tcPr>
          <w:p w14:paraId="03970E8C" w14:textId="77777777" w:rsidR="00EB4B5A" w:rsidRPr="00EB4B5A" w:rsidRDefault="00EB4B5A" w:rsidP="00EB4B5A">
            <w:pPr>
              <w:jc w:val="center"/>
            </w:pPr>
            <w:r w:rsidRPr="00EB4B5A">
              <w:t>0.86 (0.72-1.03)</w:t>
            </w:r>
          </w:p>
        </w:tc>
        <w:tc>
          <w:tcPr>
            <w:tcW w:w="955" w:type="dxa"/>
          </w:tcPr>
          <w:p w14:paraId="5515C7B5" w14:textId="77777777" w:rsidR="00EB4B5A" w:rsidRPr="00EB4B5A" w:rsidRDefault="00EB4B5A" w:rsidP="00EB4B5A">
            <w:pPr>
              <w:jc w:val="center"/>
            </w:pPr>
            <w:r w:rsidRPr="00EB4B5A">
              <w:t>0.92 (0.66-1.29)</w:t>
            </w:r>
          </w:p>
        </w:tc>
      </w:tr>
      <w:tr w:rsidR="00EB4B5A" w:rsidRPr="00EB4B5A" w14:paraId="1DEF7A16" w14:textId="77777777" w:rsidTr="00365C12">
        <w:trPr>
          <w:jc w:val="center"/>
        </w:trPr>
        <w:tc>
          <w:tcPr>
            <w:tcW w:w="1374" w:type="dxa"/>
          </w:tcPr>
          <w:p w14:paraId="4269CF7A" w14:textId="77777777" w:rsidR="00EB4B5A" w:rsidRPr="00EB4B5A" w:rsidRDefault="00EB4B5A" w:rsidP="00EB4B5A">
            <w:pPr>
              <w:spacing w:after="160" w:line="259" w:lineRule="auto"/>
              <w:jc w:val="center"/>
            </w:pPr>
          </w:p>
        </w:tc>
        <w:tc>
          <w:tcPr>
            <w:tcW w:w="1173" w:type="dxa"/>
          </w:tcPr>
          <w:p w14:paraId="70495A67" w14:textId="77777777" w:rsidR="00EB4B5A" w:rsidRPr="00EB4B5A" w:rsidRDefault="00EB4B5A" w:rsidP="00EB4B5A">
            <w:pPr>
              <w:spacing w:after="160" w:line="259" w:lineRule="auto"/>
              <w:jc w:val="center"/>
            </w:pPr>
            <w:proofErr w:type="spellStart"/>
            <w:r w:rsidRPr="00EB4B5A">
              <w:t>Spain</w:t>
            </w:r>
            <w:proofErr w:type="spellEnd"/>
          </w:p>
        </w:tc>
        <w:tc>
          <w:tcPr>
            <w:tcW w:w="653" w:type="dxa"/>
          </w:tcPr>
          <w:p w14:paraId="491E0E83"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11FA36A" w14:textId="77777777" w:rsidR="00EB4B5A" w:rsidRPr="00EB4B5A" w:rsidRDefault="00EB4B5A" w:rsidP="00EB4B5A">
            <w:pPr>
              <w:jc w:val="center"/>
            </w:pPr>
            <w:r w:rsidRPr="00EB4B5A">
              <w:t>0.79 (0.75-0.84)</w:t>
            </w:r>
          </w:p>
        </w:tc>
        <w:tc>
          <w:tcPr>
            <w:tcW w:w="665" w:type="dxa"/>
          </w:tcPr>
          <w:p w14:paraId="55CCDB98" w14:textId="77777777" w:rsidR="00EB4B5A" w:rsidRPr="00EB4B5A" w:rsidRDefault="00EB4B5A" w:rsidP="00EB4B5A">
            <w:pPr>
              <w:jc w:val="center"/>
            </w:pPr>
            <w:r w:rsidRPr="00EB4B5A">
              <w:t>0.56 (0.5-0.62)</w:t>
            </w:r>
          </w:p>
        </w:tc>
        <w:tc>
          <w:tcPr>
            <w:tcW w:w="652" w:type="dxa"/>
          </w:tcPr>
          <w:p w14:paraId="2F113800" w14:textId="77777777" w:rsidR="00EB4B5A" w:rsidRPr="00EB4B5A" w:rsidRDefault="00EB4B5A" w:rsidP="00EB4B5A">
            <w:pPr>
              <w:jc w:val="center"/>
            </w:pPr>
            <w:proofErr w:type="spellStart"/>
            <w:r w:rsidRPr="00EB4B5A">
              <w:t>ref</w:t>
            </w:r>
            <w:proofErr w:type="spellEnd"/>
          </w:p>
        </w:tc>
        <w:tc>
          <w:tcPr>
            <w:tcW w:w="665" w:type="dxa"/>
          </w:tcPr>
          <w:p w14:paraId="429E336A" w14:textId="77777777" w:rsidR="00EB4B5A" w:rsidRPr="00EB4B5A" w:rsidRDefault="00EB4B5A" w:rsidP="00EB4B5A">
            <w:pPr>
              <w:jc w:val="center"/>
            </w:pPr>
            <w:r w:rsidRPr="00EB4B5A">
              <w:t>0.74 (0.69-0.79)</w:t>
            </w:r>
          </w:p>
        </w:tc>
        <w:tc>
          <w:tcPr>
            <w:tcW w:w="665" w:type="dxa"/>
          </w:tcPr>
          <w:p w14:paraId="4A273410" w14:textId="77777777" w:rsidR="00EB4B5A" w:rsidRPr="00EB4B5A" w:rsidRDefault="00EB4B5A" w:rsidP="00EB4B5A">
            <w:pPr>
              <w:jc w:val="center"/>
            </w:pPr>
            <w:r w:rsidRPr="00EB4B5A">
              <w:t>0.5 (0.44-0.57)</w:t>
            </w:r>
          </w:p>
        </w:tc>
        <w:tc>
          <w:tcPr>
            <w:tcW w:w="652" w:type="dxa"/>
          </w:tcPr>
          <w:p w14:paraId="5D051963" w14:textId="77777777" w:rsidR="00EB4B5A" w:rsidRPr="00EB4B5A" w:rsidRDefault="00EB4B5A" w:rsidP="00EB4B5A">
            <w:pPr>
              <w:jc w:val="center"/>
            </w:pPr>
            <w:proofErr w:type="spellStart"/>
            <w:r w:rsidRPr="00EB4B5A">
              <w:t>ref</w:t>
            </w:r>
            <w:proofErr w:type="spellEnd"/>
          </w:p>
        </w:tc>
        <w:tc>
          <w:tcPr>
            <w:tcW w:w="665" w:type="dxa"/>
          </w:tcPr>
          <w:p w14:paraId="27ABC10F" w14:textId="77777777" w:rsidR="00EB4B5A" w:rsidRPr="00EB4B5A" w:rsidRDefault="00EB4B5A" w:rsidP="00EB4B5A">
            <w:pPr>
              <w:jc w:val="center"/>
            </w:pPr>
            <w:r w:rsidRPr="00EB4B5A">
              <w:t>0.92 (0.85-0.99)</w:t>
            </w:r>
          </w:p>
        </w:tc>
        <w:tc>
          <w:tcPr>
            <w:tcW w:w="955" w:type="dxa"/>
          </w:tcPr>
          <w:p w14:paraId="031A2AFA" w14:textId="77777777" w:rsidR="00EB4B5A" w:rsidRPr="00EB4B5A" w:rsidRDefault="00EB4B5A" w:rsidP="00EB4B5A">
            <w:pPr>
              <w:jc w:val="center"/>
            </w:pPr>
            <w:r w:rsidRPr="00EB4B5A">
              <w:t>1.06 (0.91-1.23)</w:t>
            </w:r>
          </w:p>
        </w:tc>
      </w:tr>
      <w:tr w:rsidR="00EB4B5A" w:rsidRPr="00EB4B5A" w14:paraId="53517B9A" w14:textId="77777777" w:rsidTr="00365C12">
        <w:trPr>
          <w:jc w:val="center"/>
        </w:trPr>
        <w:tc>
          <w:tcPr>
            <w:tcW w:w="1374" w:type="dxa"/>
          </w:tcPr>
          <w:p w14:paraId="072B597E" w14:textId="77777777" w:rsidR="00EB4B5A" w:rsidRPr="00EB4B5A" w:rsidRDefault="00EB4B5A" w:rsidP="00EB4B5A">
            <w:pPr>
              <w:spacing w:after="160" w:line="259" w:lineRule="auto"/>
              <w:jc w:val="center"/>
            </w:pPr>
          </w:p>
        </w:tc>
        <w:tc>
          <w:tcPr>
            <w:tcW w:w="1173" w:type="dxa"/>
          </w:tcPr>
          <w:p w14:paraId="2514E36F" w14:textId="77777777" w:rsidR="00EB4B5A" w:rsidRPr="00EB4B5A" w:rsidRDefault="00EB4B5A" w:rsidP="00EB4B5A">
            <w:pPr>
              <w:spacing w:after="160" w:line="259" w:lineRule="auto"/>
              <w:jc w:val="center"/>
            </w:pPr>
            <w:proofErr w:type="spellStart"/>
            <w:r w:rsidRPr="00EB4B5A">
              <w:t>Sweden</w:t>
            </w:r>
            <w:proofErr w:type="spellEnd"/>
          </w:p>
        </w:tc>
        <w:tc>
          <w:tcPr>
            <w:tcW w:w="653" w:type="dxa"/>
          </w:tcPr>
          <w:p w14:paraId="2D65D6B1"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6EA1513" w14:textId="77777777" w:rsidR="00EB4B5A" w:rsidRPr="00EB4B5A" w:rsidRDefault="00EB4B5A" w:rsidP="00EB4B5A">
            <w:pPr>
              <w:jc w:val="center"/>
            </w:pPr>
            <w:r w:rsidRPr="00EB4B5A">
              <w:t>0.66 (0.55-0.8)</w:t>
            </w:r>
          </w:p>
        </w:tc>
        <w:tc>
          <w:tcPr>
            <w:tcW w:w="665" w:type="dxa"/>
          </w:tcPr>
          <w:p w14:paraId="4D374C66" w14:textId="77777777" w:rsidR="00EB4B5A" w:rsidRPr="00EB4B5A" w:rsidRDefault="00EB4B5A" w:rsidP="00EB4B5A">
            <w:pPr>
              <w:jc w:val="center"/>
            </w:pPr>
            <w:r w:rsidRPr="00EB4B5A">
              <w:t>0.35 (0.23-0.54)</w:t>
            </w:r>
          </w:p>
        </w:tc>
        <w:tc>
          <w:tcPr>
            <w:tcW w:w="652" w:type="dxa"/>
          </w:tcPr>
          <w:p w14:paraId="5D7ABE5E" w14:textId="77777777" w:rsidR="00EB4B5A" w:rsidRPr="00EB4B5A" w:rsidRDefault="00EB4B5A" w:rsidP="00EB4B5A">
            <w:pPr>
              <w:jc w:val="center"/>
            </w:pPr>
            <w:proofErr w:type="spellStart"/>
            <w:r w:rsidRPr="00EB4B5A">
              <w:t>ref</w:t>
            </w:r>
            <w:proofErr w:type="spellEnd"/>
          </w:p>
        </w:tc>
        <w:tc>
          <w:tcPr>
            <w:tcW w:w="665" w:type="dxa"/>
          </w:tcPr>
          <w:p w14:paraId="48E609C5" w14:textId="77777777" w:rsidR="00EB4B5A" w:rsidRPr="00EB4B5A" w:rsidRDefault="00EB4B5A" w:rsidP="00EB4B5A">
            <w:pPr>
              <w:jc w:val="center"/>
            </w:pPr>
            <w:r w:rsidRPr="00EB4B5A">
              <w:t>0.74 (0.56-0.96)</w:t>
            </w:r>
          </w:p>
        </w:tc>
        <w:tc>
          <w:tcPr>
            <w:tcW w:w="665" w:type="dxa"/>
          </w:tcPr>
          <w:p w14:paraId="3C119A71" w14:textId="77777777" w:rsidR="00EB4B5A" w:rsidRPr="00EB4B5A" w:rsidRDefault="00EB4B5A" w:rsidP="00EB4B5A">
            <w:pPr>
              <w:jc w:val="center"/>
            </w:pPr>
            <w:r w:rsidRPr="00EB4B5A">
              <w:t>0.44 (0.27-0.72)</w:t>
            </w:r>
          </w:p>
        </w:tc>
        <w:tc>
          <w:tcPr>
            <w:tcW w:w="652" w:type="dxa"/>
          </w:tcPr>
          <w:p w14:paraId="0A5EACA8" w14:textId="77777777" w:rsidR="00EB4B5A" w:rsidRPr="00EB4B5A" w:rsidRDefault="00EB4B5A" w:rsidP="00EB4B5A">
            <w:pPr>
              <w:jc w:val="center"/>
            </w:pPr>
            <w:proofErr w:type="spellStart"/>
            <w:r w:rsidRPr="00EB4B5A">
              <w:t>ref</w:t>
            </w:r>
            <w:proofErr w:type="spellEnd"/>
          </w:p>
        </w:tc>
        <w:tc>
          <w:tcPr>
            <w:tcW w:w="665" w:type="dxa"/>
          </w:tcPr>
          <w:p w14:paraId="6D126712" w14:textId="77777777" w:rsidR="00EB4B5A" w:rsidRPr="00EB4B5A" w:rsidRDefault="00EB4B5A" w:rsidP="00EB4B5A">
            <w:pPr>
              <w:jc w:val="center"/>
            </w:pPr>
            <w:r w:rsidRPr="00EB4B5A">
              <w:t>0.78 (0.67-0.9)</w:t>
            </w:r>
          </w:p>
        </w:tc>
        <w:tc>
          <w:tcPr>
            <w:tcW w:w="955" w:type="dxa"/>
          </w:tcPr>
          <w:p w14:paraId="760906A9" w14:textId="77777777" w:rsidR="00EB4B5A" w:rsidRPr="00EB4B5A" w:rsidRDefault="00EB4B5A" w:rsidP="00EB4B5A">
            <w:pPr>
              <w:jc w:val="center"/>
            </w:pPr>
            <w:r w:rsidRPr="00EB4B5A">
              <w:t>0.96 (0.66-1.41)</w:t>
            </w:r>
          </w:p>
        </w:tc>
      </w:tr>
      <w:tr w:rsidR="00EB4B5A" w:rsidRPr="00EB4B5A" w14:paraId="0844A7FF" w14:textId="77777777" w:rsidTr="00365C12">
        <w:trPr>
          <w:jc w:val="center"/>
        </w:trPr>
        <w:tc>
          <w:tcPr>
            <w:tcW w:w="1374" w:type="dxa"/>
          </w:tcPr>
          <w:p w14:paraId="77FFA6AC" w14:textId="77777777" w:rsidR="00EB4B5A" w:rsidRPr="00EB4B5A" w:rsidRDefault="00EB4B5A" w:rsidP="00EB4B5A">
            <w:pPr>
              <w:spacing w:after="160" w:line="259" w:lineRule="auto"/>
              <w:jc w:val="center"/>
            </w:pPr>
          </w:p>
        </w:tc>
        <w:tc>
          <w:tcPr>
            <w:tcW w:w="1173" w:type="dxa"/>
          </w:tcPr>
          <w:p w14:paraId="25AA0B9F" w14:textId="77777777" w:rsidR="00EB4B5A" w:rsidRPr="00EB4B5A" w:rsidRDefault="00EB4B5A" w:rsidP="00EB4B5A">
            <w:pPr>
              <w:spacing w:after="160" w:line="259" w:lineRule="auto"/>
              <w:jc w:val="center"/>
            </w:pPr>
            <w:proofErr w:type="spellStart"/>
            <w:r w:rsidRPr="00EB4B5A">
              <w:t>Switzerland</w:t>
            </w:r>
            <w:proofErr w:type="spellEnd"/>
          </w:p>
        </w:tc>
        <w:tc>
          <w:tcPr>
            <w:tcW w:w="653" w:type="dxa"/>
          </w:tcPr>
          <w:p w14:paraId="078CA569"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9B26E08" w14:textId="77777777" w:rsidR="00EB4B5A" w:rsidRPr="00EB4B5A" w:rsidRDefault="00EB4B5A" w:rsidP="00EB4B5A">
            <w:pPr>
              <w:jc w:val="center"/>
            </w:pPr>
            <w:r w:rsidRPr="00EB4B5A">
              <w:t>0.72 (0.63-0.82)</w:t>
            </w:r>
          </w:p>
        </w:tc>
        <w:tc>
          <w:tcPr>
            <w:tcW w:w="665" w:type="dxa"/>
          </w:tcPr>
          <w:p w14:paraId="0D340E4A" w14:textId="77777777" w:rsidR="00EB4B5A" w:rsidRPr="00EB4B5A" w:rsidRDefault="00EB4B5A" w:rsidP="00EB4B5A">
            <w:pPr>
              <w:jc w:val="center"/>
            </w:pPr>
            <w:r w:rsidRPr="00EB4B5A">
              <w:t>0.64 (0.52-0.78)</w:t>
            </w:r>
          </w:p>
        </w:tc>
        <w:tc>
          <w:tcPr>
            <w:tcW w:w="652" w:type="dxa"/>
          </w:tcPr>
          <w:p w14:paraId="2114D725" w14:textId="77777777" w:rsidR="00EB4B5A" w:rsidRPr="00EB4B5A" w:rsidRDefault="00EB4B5A" w:rsidP="00EB4B5A">
            <w:pPr>
              <w:jc w:val="center"/>
            </w:pPr>
            <w:proofErr w:type="spellStart"/>
            <w:r w:rsidRPr="00EB4B5A">
              <w:t>ref</w:t>
            </w:r>
            <w:proofErr w:type="spellEnd"/>
          </w:p>
        </w:tc>
        <w:tc>
          <w:tcPr>
            <w:tcW w:w="665" w:type="dxa"/>
          </w:tcPr>
          <w:p w14:paraId="378E6B00" w14:textId="77777777" w:rsidR="00EB4B5A" w:rsidRPr="00EB4B5A" w:rsidRDefault="00EB4B5A" w:rsidP="00EB4B5A">
            <w:pPr>
              <w:jc w:val="center"/>
            </w:pPr>
            <w:r w:rsidRPr="00EB4B5A">
              <w:t>0.67 (0.59-0.77)</w:t>
            </w:r>
          </w:p>
        </w:tc>
        <w:tc>
          <w:tcPr>
            <w:tcW w:w="665" w:type="dxa"/>
          </w:tcPr>
          <w:p w14:paraId="6DABC08E" w14:textId="77777777" w:rsidR="00EB4B5A" w:rsidRPr="00EB4B5A" w:rsidRDefault="00EB4B5A" w:rsidP="00EB4B5A">
            <w:pPr>
              <w:jc w:val="center"/>
            </w:pPr>
            <w:r w:rsidRPr="00EB4B5A">
              <w:t>0.52 (0.42-0.65)</w:t>
            </w:r>
          </w:p>
        </w:tc>
        <w:tc>
          <w:tcPr>
            <w:tcW w:w="652" w:type="dxa"/>
          </w:tcPr>
          <w:p w14:paraId="7106F474" w14:textId="77777777" w:rsidR="00EB4B5A" w:rsidRPr="00EB4B5A" w:rsidRDefault="00EB4B5A" w:rsidP="00EB4B5A">
            <w:pPr>
              <w:jc w:val="center"/>
            </w:pPr>
            <w:proofErr w:type="spellStart"/>
            <w:r w:rsidRPr="00EB4B5A">
              <w:t>ref</w:t>
            </w:r>
            <w:proofErr w:type="spellEnd"/>
          </w:p>
        </w:tc>
        <w:tc>
          <w:tcPr>
            <w:tcW w:w="665" w:type="dxa"/>
          </w:tcPr>
          <w:p w14:paraId="32DD037F" w14:textId="77777777" w:rsidR="00EB4B5A" w:rsidRPr="00EB4B5A" w:rsidRDefault="00EB4B5A" w:rsidP="00EB4B5A">
            <w:pPr>
              <w:jc w:val="center"/>
            </w:pPr>
            <w:r w:rsidRPr="00EB4B5A">
              <w:t>0.94 (0.81-1.09)</w:t>
            </w:r>
          </w:p>
        </w:tc>
        <w:tc>
          <w:tcPr>
            <w:tcW w:w="955" w:type="dxa"/>
          </w:tcPr>
          <w:p w14:paraId="63DBF4A1" w14:textId="77777777" w:rsidR="00EB4B5A" w:rsidRPr="00EB4B5A" w:rsidRDefault="00EB4B5A" w:rsidP="00EB4B5A">
            <w:pPr>
              <w:jc w:val="center"/>
            </w:pPr>
            <w:r w:rsidRPr="00EB4B5A">
              <w:t>1 (0.77-1.3)</w:t>
            </w:r>
          </w:p>
        </w:tc>
      </w:tr>
      <w:tr w:rsidR="00EB4B5A" w:rsidRPr="00EB4B5A" w14:paraId="4A4B2272" w14:textId="77777777" w:rsidTr="00365C12">
        <w:trPr>
          <w:jc w:val="center"/>
        </w:trPr>
        <w:tc>
          <w:tcPr>
            <w:tcW w:w="1374" w:type="dxa"/>
          </w:tcPr>
          <w:p w14:paraId="4CED9D81" w14:textId="77777777" w:rsidR="00EB4B5A" w:rsidRPr="00EB4B5A" w:rsidRDefault="00EB4B5A" w:rsidP="00EB4B5A">
            <w:pPr>
              <w:spacing w:after="160" w:line="259" w:lineRule="auto"/>
              <w:jc w:val="center"/>
            </w:pPr>
          </w:p>
        </w:tc>
        <w:tc>
          <w:tcPr>
            <w:tcW w:w="1173" w:type="dxa"/>
          </w:tcPr>
          <w:p w14:paraId="52C03CB9" w14:textId="77777777" w:rsidR="00EB4B5A" w:rsidRPr="00EB4B5A" w:rsidRDefault="00EB4B5A" w:rsidP="00EB4B5A">
            <w:pPr>
              <w:spacing w:after="160" w:line="259" w:lineRule="auto"/>
              <w:jc w:val="center"/>
            </w:pPr>
            <w:proofErr w:type="spellStart"/>
            <w:r w:rsidRPr="00EB4B5A">
              <w:t>United</w:t>
            </w:r>
            <w:proofErr w:type="spellEnd"/>
            <w:r w:rsidRPr="00EB4B5A">
              <w:t xml:space="preserve"> </w:t>
            </w:r>
            <w:proofErr w:type="spellStart"/>
            <w:r w:rsidRPr="00EB4B5A">
              <w:t>Kingdom</w:t>
            </w:r>
            <w:proofErr w:type="spellEnd"/>
          </w:p>
        </w:tc>
        <w:tc>
          <w:tcPr>
            <w:tcW w:w="653" w:type="dxa"/>
          </w:tcPr>
          <w:p w14:paraId="33E65D66"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799E3E1" w14:textId="77777777" w:rsidR="00EB4B5A" w:rsidRPr="00EB4B5A" w:rsidRDefault="00EB4B5A" w:rsidP="00EB4B5A">
            <w:pPr>
              <w:jc w:val="center"/>
            </w:pPr>
            <w:r w:rsidRPr="00EB4B5A">
              <w:t>0.75 (0.65-0.86)</w:t>
            </w:r>
          </w:p>
        </w:tc>
        <w:tc>
          <w:tcPr>
            <w:tcW w:w="665" w:type="dxa"/>
          </w:tcPr>
          <w:p w14:paraId="55C7EFB3" w14:textId="77777777" w:rsidR="00EB4B5A" w:rsidRPr="00EB4B5A" w:rsidRDefault="00EB4B5A" w:rsidP="00EB4B5A">
            <w:pPr>
              <w:jc w:val="center"/>
            </w:pPr>
            <w:r w:rsidRPr="00EB4B5A">
              <w:t>0.55 (0.4-0.74)</w:t>
            </w:r>
          </w:p>
        </w:tc>
        <w:tc>
          <w:tcPr>
            <w:tcW w:w="652" w:type="dxa"/>
          </w:tcPr>
          <w:p w14:paraId="7243925F" w14:textId="77777777" w:rsidR="00EB4B5A" w:rsidRPr="00EB4B5A" w:rsidRDefault="00EB4B5A" w:rsidP="00EB4B5A">
            <w:pPr>
              <w:jc w:val="center"/>
            </w:pPr>
            <w:proofErr w:type="spellStart"/>
            <w:r w:rsidRPr="00EB4B5A">
              <w:t>ref</w:t>
            </w:r>
            <w:proofErr w:type="spellEnd"/>
          </w:p>
        </w:tc>
        <w:tc>
          <w:tcPr>
            <w:tcW w:w="665" w:type="dxa"/>
          </w:tcPr>
          <w:p w14:paraId="25533961" w14:textId="77777777" w:rsidR="00EB4B5A" w:rsidRPr="00EB4B5A" w:rsidRDefault="00EB4B5A" w:rsidP="00EB4B5A">
            <w:pPr>
              <w:jc w:val="center"/>
            </w:pPr>
            <w:r w:rsidRPr="00EB4B5A">
              <w:t>0.64 (0.53-0.79)</w:t>
            </w:r>
          </w:p>
        </w:tc>
        <w:tc>
          <w:tcPr>
            <w:tcW w:w="665" w:type="dxa"/>
          </w:tcPr>
          <w:p w14:paraId="04CD0340" w14:textId="77777777" w:rsidR="00EB4B5A" w:rsidRPr="00EB4B5A" w:rsidRDefault="00EB4B5A" w:rsidP="00EB4B5A">
            <w:pPr>
              <w:jc w:val="center"/>
            </w:pPr>
            <w:r w:rsidRPr="00EB4B5A">
              <w:t>0.39 (0.27-0.55)</w:t>
            </w:r>
          </w:p>
        </w:tc>
        <w:tc>
          <w:tcPr>
            <w:tcW w:w="652" w:type="dxa"/>
          </w:tcPr>
          <w:p w14:paraId="48026CE4" w14:textId="77777777" w:rsidR="00EB4B5A" w:rsidRPr="00EB4B5A" w:rsidRDefault="00EB4B5A" w:rsidP="00EB4B5A">
            <w:pPr>
              <w:jc w:val="center"/>
            </w:pPr>
            <w:proofErr w:type="spellStart"/>
            <w:r w:rsidRPr="00EB4B5A">
              <w:t>ref</w:t>
            </w:r>
            <w:proofErr w:type="spellEnd"/>
          </w:p>
        </w:tc>
        <w:tc>
          <w:tcPr>
            <w:tcW w:w="665" w:type="dxa"/>
          </w:tcPr>
          <w:p w14:paraId="20183AFA" w14:textId="77777777" w:rsidR="00EB4B5A" w:rsidRPr="00EB4B5A" w:rsidRDefault="00EB4B5A" w:rsidP="00EB4B5A">
            <w:pPr>
              <w:jc w:val="center"/>
            </w:pPr>
            <w:r w:rsidRPr="00EB4B5A">
              <w:t>0.88 (0.74-1.05)</w:t>
            </w:r>
          </w:p>
        </w:tc>
        <w:tc>
          <w:tcPr>
            <w:tcW w:w="955" w:type="dxa"/>
          </w:tcPr>
          <w:p w14:paraId="5C9B3B9F" w14:textId="77777777" w:rsidR="00EB4B5A" w:rsidRPr="00EB4B5A" w:rsidRDefault="00EB4B5A" w:rsidP="00EB4B5A">
            <w:pPr>
              <w:jc w:val="center"/>
            </w:pPr>
            <w:r w:rsidRPr="00EB4B5A">
              <w:t>0.98 (0.66-1.45)</w:t>
            </w:r>
          </w:p>
        </w:tc>
      </w:tr>
      <w:tr w:rsidR="00EB4B5A" w:rsidRPr="00EB4B5A" w14:paraId="0BE06EA8" w14:textId="77777777" w:rsidTr="00365C12">
        <w:trPr>
          <w:jc w:val="center"/>
        </w:trPr>
        <w:tc>
          <w:tcPr>
            <w:tcW w:w="1374" w:type="dxa"/>
          </w:tcPr>
          <w:p w14:paraId="3F754788" w14:textId="77777777" w:rsidR="00EB4B5A" w:rsidRPr="00EB4B5A" w:rsidRDefault="00EB4B5A" w:rsidP="00EB4B5A">
            <w:pPr>
              <w:spacing w:after="160" w:line="259" w:lineRule="auto"/>
              <w:jc w:val="center"/>
            </w:pPr>
            <w:proofErr w:type="spellStart"/>
            <w:r w:rsidRPr="00EB4B5A">
              <w:t>Europe</w:t>
            </w:r>
            <w:proofErr w:type="spellEnd"/>
            <w:r w:rsidRPr="00EB4B5A">
              <w:t xml:space="preserve"> B/C</w:t>
            </w:r>
          </w:p>
        </w:tc>
        <w:tc>
          <w:tcPr>
            <w:tcW w:w="1173" w:type="dxa"/>
          </w:tcPr>
          <w:p w14:paraId="1145F743" w14:textId="77777777" w:rsidR="00EB4B5A" w:rsidRPr="00EB4B5A" w:rsidRDefault="00EB4B5A" w:rsidP="00EB4B5A">
            <w:pPr>
              <w:spacing w:after="160" w:line="259" w:lineRule="auto"/>
              <w:jc w:val="center"/>
            </w:pPr>
            <w:r w:rsidRPr="00EB4B5A">
              <w:t>Bulgaria</w:t>
            </w:r>
          </w:p>
        </w:tc>
        <w:tc>
          <w:tcPr>
            <w:tcW w:w="653" w:type="dxa"/>
          </w:tcPr>
          <w:p w14:paraId="442B8A6C"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556A3D34" w14:textId="77777777" w:rsidR="00EB4B5A" w:rsidRPr="00EB4B5A" w:rsidRDefault="00EB4B5A" w:rsidP="00EB4B5A">
            <w:pPr>
              <w:jc w:val="center"/>
            </w:pPr>
            <w:r w:rsidRPr="00EB4B5A">
              <w:t>0.73 (0.62-0.87)</w:t>
            </w:r>
          </w:p>
        </w:tc>
        <w:tc>
          <w:tcPr>
            <w:tcW w:w="665" w:type="dxa"/>
          </w:tcPr>
          <w:p w14:paraId="67BAEA46" w14:textId="77777777" w:rsidR="00EB4B5A" w:rsidRPr="00EB4B5A" w:rsidRDefault="00EB4B5A" w:rsidP="00EB4B5A">
            <w:pPr>
              <w:jc w:val="center"/>
            </w:pPr>
            <w:r w:rsidRPr="00EB4B5A">
              <w:t>0.49 (0.35-0.68)</w:t>
            </w:r>
          </w:p>
        </w:tc>
        <w:tc>
          <w:tcPr>
            <w:tcW w:w="652" w:type="dxa"/>
          </w:tcPr>
          <w:p w14:paraId="08BA7F56" w14:textId="77777777" w:rsidR="00EB4B5A" w:rsidRPr="00EB4B5A" w:rsidRDefault="00EB4B5A" w:rsidP="00EB4B5A">
            <w:pPr>
              <w:jc w:val="center"/>
            </w:pPr>
            <w:proofErr w:type="spellStart"/>
            <w:r w:rsidRPr="00EB4B5A">
              <w:t>ref</w:t>
            </w:r>
            <w:proofErr w:type="spellEnd"/>
          </w:p>
        </w:tc>
        <w:tc>
          <w:tcPr>
            <w:tcW w:w="665" w:type="dxa"/>
          </w:tcPr>
          <w:p w14:paraId="75B3BC0A" w14:textId="77777777" w:rsidR="00EB4B5A" w:rsidRPr="00EB4B5A" w:rsidRDefault="00EB4B5A" w:rsidP="00EB4B5A">
            <w:pPr>
              <w:jc w:val="center"/>
            </w:pPr>
            <w:r w:rsidRPr="00EB4B5A">
              <w:t>0.79 (0.64-0.97)</w:t>
            </w:r>
          </w:p>
        </w:tc>
        <w:tc>
          <w:tcPr>
            <w:tcW w:w="665" w:type="dxa"/>
          </w:tcPr>
          <w:p w14:paraId="0B41B583" w14:textId="77777777" w:rsidR="00EB4B5A" w:rsidRPr="00EB4B5A" w:rsidRDefault="00EB4B5A" w:rsidP="00EB4B5A">
            <w:pPr>
              <w:jc w:val="center"/>
            </w:pPr>
            <w:r w:rsidRPr="00EB4B5A">
              <w:t>0.54 (0.39-0.74)</w:t>
            </w:r>
          </w:p>
        </w:tc>
        <w:tc>
          <w:tcPr>
            <w:tcW w:w="652" w:type="dxa"/>
          </w:tcPr>
          <w:p w14:paraId="72DD0906" w14:textId="77777777" w:rsidR="00EB4B5A" w:rsidRPr="00EB4B5A" w:rsidRDefault="00EB4B5A" w:rsidP="00EB4B5A">
            <w:pPr>
              <w:jc w:val="center"/>
            </w:pPr>
            <w:proofErr w:type="spellStart"/>
            <w:r w:rsidRPr="00EB4B5A">
              <w:t>ref</w:t>
            </w:r>
            <w:proofErr w:type="spellEnd"/>
          </w:p>
        </w:tc>
        <w:tc>
          <w:tcPr>
            <w:tcW w:w="665" w:type="dxa"/>
          </w:tcPr>
          <w:p w14:paraId="24B0325A" w14:textId="77777777" w:rsidR="00EB4B5A" w:rsidRPr="00EB4B5A" w:rsidRDefault="00EB4B5A" w:rsidP="00EB4B5A">
            <w:pPr>
              <w:jc w:val="center"/>
            </w:pPr>
            <w:r w:rsidRPr="00EB4B5A">
              <w:t>0.77 (0.65-0.91)</w:t>
            </w:r>
          </w:p>
        </w:tc>
        <w:tc>
          <w:tcPr>
            <w:tcW w:w="955" w:type="dxa"/>
          </w:tcPr>
          <w:p w14:paraId="16887440" w14:textId="77777777" w:rsidR="00EB4B5A" w:rsidRPr="00EB4B5A" w:rsidRDefault="00EB4B5A" w:rsidP="00EB4B5A">
            <w:pPr>
              <w:jc w:val="center"/>
            </w:pPr>
            <w:r w:rsidRPr="00EB4B5A">
              <w:t>1.17 (0.86-1.6)</w:t>
            </w:r>
          </w:p>
        </w:tc>
      </w:tr>
      <w:tr w:rsidR="00EB4B5A" w:rsidRPr="00EB4B5A" w14:paraId="66BED79F" w14:textId="77777777" w:rsidTr="00365C12">
        <w:trPr>
          <w:jc w:val="center"/>
        </w:trPr>
        <w:tc>
          <w:tcPr>
            <w:tcW w:w="1374" w:type="dxa"/>
          </w:tcPr>
          <w:p w14:paraId="3C01C75F" w14:textId="77777777" w:rsidR="00EB4B5A" w:rsidRPr="00EB4B5A" w:rsidRDefault="00EB4B5A" w:rsidP="00EB4B5A">
            <w:pPr>
              <w:spacing w:after="160" w:line="259" w:lineRule="auto"/>
              <w:jc w:val="center"/>
            </w:pPr>
          </w:p>
        </w:tc>
        <w:tc>
          <w:tcPr>
            <w:tcW w:w="1173" w:type="dxa"/>
          </w:tcPr>
          <w:p w14:paraId="2B4A6506" w14:textId="77777777" w:rsidR="00EB4B5A" w:rsidRPr="00EB4B5A" w:rsidRDefault="00EB4B5A" w:rsidP="00EB4B5A">
            <w:pPr>
              <w:spacing w:after="160" w:line="259" w:lineRule="auto"/>
              <w:jc w:val="center"/>
            </w:pPr>
            <w:proofErr w:type="spellStart"/>
            <w:r w:rsidRPr="00EB4B5A">
              <w:t>Czech</w:t>
            </w:r>
            <w:proofErr w:type="spellEnd"/>
            <w:r w:rsidRPr="00EB4B5A">
              <w:t xml:space="preserve"> </w:t>
            </w:r>
            <w:proofErr w:type="spellStart"/>
            <w:r w:rsidRPr="00EB4B5A">
              <w:t>Republic</w:t>
            </w:r>
            <w:proofErr w:type="spellEnd"/>
          </w:p>
        </w:tc>
        <w:tc>
          <w:tcPr>
            <w:tcW w:w="653" w:type="dxa"/>
          </w:tcPr>
          <w:p w14:paraId="60126507"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CBAB32E" w14:textId="77777777" w:rsidR="00EB4B5A" w:rsidRPr="00EB4B5A" w:rsidRDefault="00EB4B5A" w:rsidP="00EB4B5A">
            <w:pPr>
              <w:jc w:val="center"/>
            </w:pPr>
            <w:r w:rsidRPr="00EB4B5A">
              <w:t>0.77 (0.69-0.86)</w:t>
            </w:r>
          </w:p>
        </w:tc>
        <w:tc>
          <w:tcPr>
            <w:tcW w:w="665" w:type="dxa"/>
          </w:tcPr>
          <w:p w14:paraId="6178CC4B" w14:textId="77777777" w:rsidR="00EB4B5A" w:rsidRPr="00EB4B5A" w:rsidRDefault="00EB4B5A" w:rsidP="00EB4B5A">
            <w:pPr>
              <w:jc w:val="center"/>
            </w:pPr>
            <w:r w:rsidRPr="00EB4B5A">
              <w:t>0.75 (0.58-0.96)</w:t>
            </w:r>
          </w:p>
        </w:tc>
        <w:tc>
          <w:tcPr>
            <w:tcW w:w="652" w:type="dxa"/>
          </w:tcPr>
          <w:p w14:paraId="72423841" w14:textId="77777777" w:rsidR="00EB4B5A" w:rsidRPr="00EB4B5A" w:rsidRDefault="00EB4B5A" w:rsidP="00EB4B5A">
            <w:pPr>
              <w:jc w:val="center"/>
            </w:pPr>
            <w:proofErr w:type="spellStart"/>
            <w:r w:rsidRPr="00EB4B5A">
              <w:t>ref</w:t>
            </w:r>
            <w:proofErr w:type="spellEnd"/>
          </w:p>
        </w:tc>
        <w:tc>
          <w:tcPr>
            <w:tcW w:w="665" w:type="dxa"/>
          </w:tcPr>
          <w:p w14:paraId="7174FBBD" w14:textId="77777777" w:rsidR="00EB4B5A" w:rsidRPr="00EB4B5A" w:rsidRDefault="00EB4B5A" w:rsidP="00EB4B5A">
            <w:pPr>
              <w:jc w:val="center"/>
            </w:pPr>
            <w:r w:rsidRPr="00EB4B5A">
              <w:t>0.75 (0.67-0.84)</w:t>
            </w:r>
          </w:p>
        </w:tc>
        <w:tc>
          <w:tcPr>
            <w:tcW w:w="665" w:type="dxa"/>
          </w:tcPr>
          <w:p w14:paraId="2FEA71AE" w14:textId="77777777" w:rsidR="00EB4B5A" w:rsidRPr="00EB4B5A" w:rsidRDefault="00EB4B5A" w:rsidP="00EB4B5A">
            <w:pPr>
              <w:jc w:val="center"/>
            </w:pPr>
            <w:r w:rsidRPr="00EB4B5A">
              <w:t>0.58 (0.45-0.76)</w:t>
            </w:r>
          </w:p>
        </w:tc>
        <w:tc>
          <w:tcPr>
            <w:tcW w:w="652" w:type="dxa"/>
          </w:tcPr>
          <w:p w14:paraId="5017E8F7" w14:textId="77777777" w:rsidR="00EB4B5A" w:rsidRPr="00EB4B5A" w:rsidRDefault="00EB4B5A" w:rsidP="00EB4B5A">
            <w:pPr>
              <w:jc w:val="center"/>
            </w:pPr>
            <w:proofErr w:type="spellStart"/>
            <w:r w:rsidRPr="00EB4B5A">
              <w:t>ref</w:t>
            </w:r>
            <w:proofErr w:type="spellEnd"/>
          </w:p>
        </w:tc>
        <w:tc>
          <w:tcPr>
            <w:tcW w:w="665" w:type="dxa"/>
          </w:tcPr>
          <w:p w14:paraId="405133E2" w14:textId="77777777" w:rsidR="00EB4B5A" w:rsidRPr="00EB4B5A" w:rsidRDefault="00EB4B5A" w:rsidP="00EB4B5A">
            <w:pPr>
              <w:jc w:val="center"/>
            </w:pPr>
            <w:r w:rsidRPr="00EB4B5A">
              <w:t>0.92 (0.78-1.09)</w:t>
            </w:r>
          </w:p>
        </w:tc>
        <w:tc>
          <w:tcPr>
            <w:tcW w:w="955" w:type="dxa"/>
          </w:tcPr>
          <w:p w14:paraId="06402B03" w14:textId="77777777" w:rsidR="00EB4B5A" w:rsidRPr="00EB4B5A" w:rsidRDefault="00EB4B5A" w:rsidP="00EB4B5A">
            <w:pPr>
              <w:jc w:val="center"/>
            </w:pPr>
            <w:r w:rsidRPr="00EB4B5A">
              <w:t>1.28 (0.94-1.74)</w:t>
            </w:r>
          </w:p>
        </w:tc>
      </w:tr>
      <w:tr w:rsidR="00EB4B5A" w:rsidRPr="00EB4B5A" w14:paraId="10731B0F" w14:textId="77777777" w:rsidTr="00365C12">
        <w:trPr>
          <w:jc w:val="center"/>
        </w:trPr>
        <w:tc>
          <w:tcPr>
            <w:tcW w:w="1374" w:type="dxa"/>
          </w:tcPr>
          <w:p w14:paraId="4262DE2E" w14:textId="77777777" w:rsidR="00EB4B5A" w:rsidRPr="00EB4B5A" w:rsidRDefault="00EB4B5A" w:rsidP="00EB4B5A">
            <w:pPr>
              <w:spacing w:after="160" w:line="259" w:lineRule="auto"/>
              <w:jc w:val="center"/>
            </w:pPr>
          </w:p>
        </w:tc>
        <w:tc>
          <w:tcPr>
            <w:tcW w:w="1173" w:type="dxa"/>
          </w:tcPr>
          <w:p w14:paraId="65F2685F" w14:textId="77777777" w:rsidR="00EB4B5A" w:rsidRPr="00EB4B5A" w:rsidRDefault="00EB4B5A" w:rsidP="00EB4B5A">
            <w:pPr>
              <w:spacing w:after="160" w:line="259" w:lineRule="auto"/>
              <w:jc w:val="center"/>
            </w:pPr>
            <w:r w:rsidRPr="00EB4B5A">
              <w:t>Estonia</w:t>
            </w:r>
          </w:p>
        </w:tc>
        <w:tc>
          <w:tcPr>
            <w:tcW w:w="653" w:type="dxa"/>
          </w:tcPr>
          <w:p w14:paraId="1F9AE04D"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139BB102" w14:textId="77777777" w:rsidR="00EB4B5A" w:rsidRPr="00EB4B5A" w:rsidRDefault="00EB4B5A" w:rsidP="00EB4B5A">
            <w:pPr>
              <w:jc w:val="center"/>
            </w:pPr>
            <w:r w:rsidRPr="00EB4B5A">
              <w:t>0.7 (0.57-0.85)</w:t>
            </w:r>
          </w:p>
        </w:tc>
        <w:tc>
          <w:tcPr>
            <w:tcW w:w="665" w:type="dxa"/>
          </w:tcPr>
          <w:p w14:paraId="56E254B2" w14:textId="77777777" w:rsidR="00EB4B5A" w:rsidRPr="00EB4B5A" w:rsidRDefault="00EB4B5A" w:rsidP="00EB4B5A">
            <w:pPr>
              <w:jc w:val="center"/>
            </w:pPr>
            <w:r w:rsidRPr="00EB4B5A">
              <w:t>0.62 (0.4-0.97)</w:t>
            </w:r>
          </w:p>
        </w:tc>
        <w:tc>
          <w:tcPr>
            <w:tcW w:w="652" w:type="dxa"/>
          </w:tcPr>
          <w:p w14:paraId="43D808A1" w14:textId="77777777" w:rsidR="00EB4B5A" w:rsidRPr="00EB4B5A" w:rsidRDefault="00EB4B5A" w:rsidP="00EB4B5A">
            <w:pPr>
              <w:jc w:val="center"/>
            </w:pPr>
            <w:proofErr w:type="spellStart"/>
            <w:r w:rsidRPr="00EB4B5A">
              <w:t>ref</w:t>
            </w:r>
            <w:proofErr w:type="spellEnd"/>
          </w:p>
        </w:tc>
        <w:tc>
          <w:tcPr>
            <w:tcW w:w="665" w:type="dxa"/>
          </w:tcPr>
          <w:p w14:paraId="51CFEBC4" w14:textId="77777777" w:rsidR="00EB4B5A" w:rsidRPr="00EB4B5A" w:rsidRDefault="00EB4B5A" w:rsidP="00EB4B5A">
            <w:pPr>
              <w:jc w:val="center"/>
            </w:pPr>
            <w:r w:rsidRPr="00EB4B5A">
              <w:t>0.69 (0.58-0.82)</w:t>
            </w:r>
          </w:p>
        </w:tc>
        <w:tc>
          <w:tcPr>
            <w:tcW w:w="665" w:type="dxa"/>
          </w:tcPr>
          <w:p w14:paraId="3094B1E5" w14:textId="77777777" w:rsidR="00EB4B5A" w:rsidRPr="00EB4B5A" w:rsidRDefault="00EB4B5A" w:rsidP="00EB4B5A">
            <w:pPr>
              <w:jc w:val="center"/>
            </w:pPr>
            <w:r w:rsidRPr="00EB4B5A">
              <w:t>0.46 (0.29-0.74)</w:t>
            </w:r>
          </w:p>
        </w:tc>
        <w:tc>
          <w:tcPr>
            <w:tcW w:w="652" w:type="dxa"/>
          </w:tcPr>
          <w:p w14:paraId="5379630D" w14:textId="77777777" w:rsidR="00EB4B5A" w:rsidRPr="00EB4B5A" w:rsidRDefault="00EB4B5A" w:rsidP="00EB4B5A">
            <w:pPr>
              <w:jc w:val="center"/>
            </w:pPr>
            <w:proofErr w:type="spellStart"/>
            <w:r w:rsidRPr="00EB4B5A">
              <w:t>ref</w:t>
            </w:r>
            <w:proofErr w:type="spellEnd"/>
          </w:p>
        </w:tc>
        <w:tc>
          <w:tcPr>
            <w:tcW w:w="665" w:type="dxa"/>
          </w:tcPr>
          <w:p w14:paraId="72D9C0C9" w14:textId="77777777" w:rsidR="00EB4B5A" w:rsidRPr="00EB4B5A" w:rsidRDefault="00EB4B5A" w:rsidP="00EB4B5A">
            <w:pPr>
              <w:jc w:val="center"/>
            </w:pPr>
            <w:r w:rsidRPr="00EB4B5A">
              <w:t>0.92 (0.76-1.12)</w:t>
            </w:r>
          </w:p>
        </w:tc>
        <w:tc>
          <w:tcPr>
            <w:tcW w:w="955" w:type="dxa"/>
          </w:tcPr>
          <w:p w14:paraId="26C5E1C5" w14:textId="77777777" w:rsidR="00EB4B5A" w:rsidRPr="00EB4B5A" w:rsidRDefault="00EB4B5A" w:rsidP="00EB4B5A">
            <w:pPr>
              <w:jc w:val="center"/>
            </w:pPr>
            <w:r w:rsidRPr="00EB4B5A">
              <w:t>1.26 (0.83-1.9)</w:t>
            </w:r>
          </w:p>
        </w:tc>
      </w:tr>
      <w:tr w:rsidR="00EB4B5A" w:rsidRPr="00EB4B5A" w14:paraId="3D870EAE" w14:textId="77777777" w:rsidTr="00365C12">
        <w:trPr>
          <w:jc w:val="center"/>
        </w:trPr>
        <w:tc>
          <w:tcPr>
            <w:tcW w:w="1374" w:type="dxa"/>
          </w:tcPr>
          <w:p w14:paraId="2AE1D5C8" w14:textId="77777777" w:rsidR="00EB4B5A" w:rsidRPr="00EB4B5A" w:rsidRDefault="00EB4B5A" w:rsidP="00EB4B5A">
            <w:pPr>
              <w:spacing w:after="160" w:line="259" w:lineRule="auto"/>
              <w:jc w:val="center"/>
            </w:pPr>
          </w:p>
        </w:tc>
        <w:tc>
          <w:tcPr>
            <w:tcW w:w="1173" w:type="dxa"/>
          </w:tcPr>
          <w:p w14:paraId="34D33080" w14:textId="77777777" w:rsidR="00EB4B5A" w:rsidRPr="00EB4B5A" w:rsidRDefault="00EB4B5A" w:rsidP="00EB4B5A">
            <w:pPr>
              <w:spacing w:after="160" w:line="259" w:lineRule="auto"/>
              <w:jc w:val="center"/>
            </w:pPr>
            <w:r w:rsidRPr="00EB4B5A">
              <w:t>Georgia</w:t>
            </w:r>
          </w:p>
        </w:tc>
        <w:tc>
          <w:tcPr>
            <w:tcW w:w="653" w:type="dxa"/>
          </w:tcPr>
          <w:p w14:paraId="24F865FC"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686D32F6" w14:textId="77777777" w:rsidR="00EB4B5A" w:rsidRPr="00EB4B5A" w:rsidRDefault="00EB4B5A" w:rsidP="00EB4B5A">
            <w:pPr>
              <w:jc w:val="center"/>
            </w:pPr>
            <w:r w:rsidRPr="00EB4B5A">
              <w:t>0.71 (0.61-0.83)</w:t>
            </w:r>
          </w:p>
        </w:tc>
        <w:tc>
          <w:tcPr>
            <w:tcW w:w="665" w:type="dxa"/>
          </w:tcPr>
          <w:p w14:paraId="4048ECF8" w14:textId="77777777" w:rsidR="00EB4B5A" w:rsidRPr="00EB4B5A" w:rsidRDefault="00EB4B5A" w:rsidP="00EB4B5A">
            <w:pPr>
              <w:jc w:val="center"/>
            </w:pPr>
            <w:r w:rsidRPr="00EB4B5A">
              <w:t>0.48 (0.38-0.6)</w:t>
            </w:r>
          </w:p>
        </w:tc>
        <w:tc>
          <w:tcPr>
            <w:tcW w:w="652" w:type="dxa"/>
          </w:tcPr>
          <w:p w14:paraId="48B7CB9F" w14:textId="77777777" w:rsidR="00EB4B5A" w:rsidRPr="00EB4B5A" w:rsidRDefault="00EB4B5A" w:rsidP="00EB4B5A">
            <w:pPr>
              <w:jc w:val="center"/>
            </w:pPr>
            <w:proofErr w:type="spellStart"/>
            <w:r w:rsidRPr="00EB4B5A">
              <w:t>ref</w:t>
            </w:r>
            <w:proofErr w:type="spellEnd"/>
          </w:p>
        </w:tc>
        <w:tc>
          <w:tcPr>
            <w:tcW w:w="665" w:type="dxa"/>
          </w:tcPr>
          <w:p w14:paraId="4E0B7152" w14:textId="77777777" w:rsidR="00EB4B5A" w:rsidRPr="00EB4B5A" w:rsidRDefault="00EB4B5A" w:rsidP="00EB4B5A">
            <w:pPr>
              <w:jc w:val="center"/>
            </w:pPr>
            <w:r w:rsidRPr="00EB4B5A">
              <w:t>0.68 (0.57-0.8)</w:t>
            </w:r>
          </w:p>
        </w:tc>
        <w:tc>
          <w:tcPr>
            <w:tcW w:w="665" w:type="dxa"/>
          </w:tcPr>
          <w:p w14:paraId="28073979" w14:textId="77777777" w:rsidR="00EB4B5A" w:rsidRPr="00EB4B5A" w:rsidRDefault="00EB4B5A" w:rsidP="00EB4B5A">
            <w:pPr>
              <w:jc w:val="center"/>
            </w:pPr>
            <w:r w:rsidRPr="00EB4B5A">
              <w:t>0.36 (0.28-0.47)</w:t>
            </w:r>
          </w:p>
        </w:tc>
        <w:tc>
          <w:tcPr>
            <w:tcW w:w="652" w:type="dxa"/>
          </w:tcPr>
          <w:p w14:paraId="383492E7" w14:textId="77777777" w:rsidR="00EB4B5A" w:rsidRPr="00EB4B5A" w:rsidRDefault="00EB4B5A" w:rsidP="00EB4B5A">
            <w:pPr>
              <w:jc w:val="center"/>
            </w:pPr>
            <w:proofErr w:type="spellStart"/>
            <w:r w:rsidRPr="00EB4B5A">
              <w:t>ref</w:t>
            </w:r>
            <w:proofErr w:type="spellEnd"/>
          </w:p>
        </w:tc>
        <w:tc>
          <w:tcPr>
            <w:tcW w:w="665" w:type="dxa"/>
          </w:tcPr>
          <w:p w14:paraId="53F46762" w14:textId="77777777" w:rsidR="00EB4B5A" w:rsidRPr="00EB4B5A" w:rsidRDefault="00EB4B5A" w:rsidP="00EB4B5A">
            <w:pPr>
              <w:jc w:val="center"/>
            </w:pPr>
            <w:r w:rsidRPr="00EB4B5A">
              <w:t>0.94 (0.73-1.21)</w:t>
            </w:r>
          </w:p>
        </w:tc>
        <w:tc>
          <w:tcPr>
            <w:tcW w:w="955" w:type="dxa"/>
          </w:tcPr>
          <w:p w14:paraId="622EEEAB" w14:textId="77777777" w:rsidR="00EB4B5A" w:rsidRPr="00EB4B5A" w:rsidRDefault="00EB4B5A" w:rsidP="00EB4B5A">
            <w:pPr>
              <w:jc w:val="center"/>
            </w:pPr>
            <w:r w:rsidRPr="00EB4B5A">
              <w:t>1.61 (1.16-2.23)</w:t>
            </w:r>
          </w:p>
        </w:tc>
      </w:tr>
      <w:tr w:rsidR="00EB4B5A" w:rsidRPr="00EB4B5A" w14:paraId="2C07417F" w14:textId="77777777" w:rsidTr="00365C12">
        <w:trPr>
          <w:jc w:val="center"/>
        </w:trPr>
        <w:tc>
          <w:tcPr>
            <w:tcW w:w="1374" w:type="dxa"/>
          </w:tcPr>
          <w:p w14:paraId="014B0D05" w14:textId="77777777" w:rsidR="00EB4B5A" w:rsidRPr="00EB4B5A" w:rsidRDefault="00EB4B5A" w:rsidP="00EB4B5A">
            <w:pPr>
              <w:spacing w:after="160" w:line="259" w:lineRule="auto"/>
              <w:jc w:val="center"/>
            </w:pPr>
          </w:p>
        </w:tc>
        <w:tc>
          <w:tcPr>
            <w:tcW w:w="1173" w:type="dxa"/>
          </w:tcPr>
          <w:p w14:paraId="373F2A32" w14:textId="77777777" w:rsidR="00EB4B5A" w:rsidRPr="00EB4B5A" w:rsidRDefault="00EB4B5A" w:rsidP="00EB4B5A">
            <w:pPr>
              <w:spacing w:after="160" w:line="259" w:lineRule="auto"/>
              <w:jc w:val="center"/>
            </w:pPr>
            <w:proofErr w:type="spellStart"/>
            <w:r w:rsidRPr="00EB4B5A">
              <w:t>Hungary</w:t>
            </w:r>
            <w:proofErr w:type="spellEnd"/>
          </w:p>
        </w:tc>
        <w:tc>
          <w:tcPr>
            <w:tcW w:w="653" w:type="dxa"/>
          </w:tcPr>
          <w:p w14:paraId="0D428E8B"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4D632949" w14:textId="77777777" w:rsidR="00EB4B5A" w:rsidRPr="00EB4B5A" w:rsidRDefault="00EB4B5A" w:rsidP="00EB4B5A">
            <w:pPr>
              <w:jc w:val="center"/>
            </w:pPr>
            <w:r w:rsidRPr="00EB4B5A">
              <w:t>0.75 (0.65-0.85)</w:t>
            </w:r>
          </w:p>
        </w:tc>
        <w:tc>
          <w:tcPr>
            <w:tcW w:w="665" w:type="dxa"/>
          </w:tcPr>
          <w:p w14:paraId="7033B799" w14:textId="77777777" w:rsidR="00EB4B5A" w:rsidRPr="00EB4B5A" w:rsidRDefault="00EB4B5A" w:rsidP="00EB4B5A">
            <w:pPr>
              <w:jc w:val="center"/>
            </w:pPr>
            <w:r w:rsidRPr="00EB4B5A">
              <w:t>0.48 (0.38-0.62)</w:t>
            </w:r>
          </w:p>
        </w:tc>
        <w:tc>
          <w:tcPr>
            <w:tcW w:w="652" w:type="dxa"/>
          </w:tcPr>
          <w:p w14:paraId="0B175FDF" w14:textId="77777777" w:rsidR="00EB4B5A" w:rsidRPr="00EB4B5A" w:rsidRDefault="00EB4B5A" w:rsidP="00EB4B5A">
            <w:pPr>
              <w:jc w:val="center"/>
            </w:pPr>
            <w:proofErr w:type="spellStart"/>
            <w:r w:rsidRPr="00EB4B5A">
              <w:t>ref</w:t>
            </w:r>
            <w:proofErr w:type="spellEnd"/>
          </w:p>
        </w:tc>
        <w:tc>
          <w:tcPr>
            <w:tcW w:w="665" w:type="dxa"/>
          </w:tcPr>
          <w:p w14:paraId="1AC5A815" w14:textId="77777777" w:rsidR="00EB4B5A" w:rsidRPr="00EB4B5A" w:rsidRDefault="00EB4B5A" w:rsidP="00EB4B5A">
            <w:pPr>
              <w:jc w:val="center"/>
            </w:pPr>
            <w:r w:rsidRPr="00EB4B5A">
              <w:t>0.75 (0.64-0.87)</w:t>
            </w:r>
          </w:p>
        </w:tc>
        <w:tc>
          <w:tcPr>
            <w:tcW w:w="665" w:type="dxa"/>
          </w:tcPr>
          <w:p w14:paraId="2BCDFEB4" w14:textId="77777777" w:rsidR="00EB4B5A" w:rsidRPr="00EB4B5A" w:rsidRDefault="00EB4B5A" w:rsidP="00EB4B5A">
            <w:pPr>
              <w:jc w:val="center"/>
            </w:pPr>
            <w:r w:rsidRPr="00EB4B5A">
              <w:t>0.32 (0.25-0.41)</w:t>
            </w:r>
          </w:p>
        </w:tc>
        <w:tc>
          <w:tcPr>
            <w:tcW w:w="652" w:type="dxa"/>
          </w:tcPr>
          <w:p w14:paraId="18B10766" w14:textId="77777777" w:rsidR="00EB4B5A" w:rsidRPr="00EB4B5A" w:rsidRDefault="00EB4B5A" w:rsidP="00EB4B5A">
            <w:pPr>
              <w:jc w:val="center"/>
            </w:pPr>
            <w:proofErr w:type="spellStart"/>
            <w:r w:rsidRPr="00EB4B5A">
              <w:t>ref</w:t>
            </w:r>
            <w:proofErr w:type="spellEnd"/>
          </w:p>
        </w:tc>
        <w:tc>
          <w:tcPr>
            <w:tcW w:w="665" w:type="dxa"/>
          </w:tcPr>
          <w:p w14:paraId="5A759CE2" w14:textId="77777777" w:rsidR="00EB4B5A" w:rsidRPr="00EB4B5A" w:rsidRDefault="00EB4B5A" w:rsidP="00EB4B5A">
            <w:pPr>
              <w:jc w:val="center"/>
            </w:pPr>
            <w:r w:rsidRPr="00EB4B5A">
              <w:t>0.93 (0.79-1.11)</w:t>
            </w:r>
          </w:p>
        </w:tc>
        <w:tc>
          <w:tcPr>
            <w:tcW w:w="955" w:type="dxa"/>
          </w:tcPr>
          <w:p w14:paraId="6D107938" w14:textId="77777777" w:rsidR="00EB4B5A" w:rsidRPr="00EB4B5A" w:rsidRDefault="00EB4B5A" w:rsidP="00EB4B5A">
            <w:pPr>
              <w:jc w:val="center"/>
            </w:pPr>
            <w:r w:rsidRPr="00EB4B5A">
              <w:t>1.18 (0.88-1.58)</w:t>
            </w:r>
          </w:p>
        </w:tc>
      </w:tr>
      <w:tr w:rsidR="00EB4B5A" w:rsidRPr="00EB4B5A" w14:paraId="58B1897C" w14:textId="77777777" w:rsidTr="00365C12">
        <w:trPr>
          <w:jc w:val="center"/>
        </w:trPr>
        <w:tc>
          <w:tcPr>
            <w:tcW w:w="1374" w:type="dxa"/>
          </w:tcPr>
          <w:p w14:paraId="2D686B32" w14:textId="77777777" w:rsidR="00EB4B5A" w:rsidRPr="00EB4B5A" w:rsidRDefault="00EB4B5A" w:rsidP="00EB4B5A">
            <w:pPr>
              <w:spacing w:after="160" w:line="259" w:lineRule="auto"/>
              <w:jc w:val="center"/>
            </w:pPr>
          </w:p>
        </w:tc>
        <w:tc>
          <w:tcPr>
            <w:tcW w:w="1173" w:type="dxa"/>
          </w:tcPr>
          <w:p w14:paraId="19E530A3" w14:textId="77777777" w:rsidR="00EB4B5A" w:rsidRPr="00EB4B5A" w:rsidRDefault="00EB4B5A" w:rsidP="00EB4B5A">
            <w:pPr>
              <w:spacing w:after="160" w:line="259" w:lineRule="auto"/>
              <w:jc w:val="center"/>
            </w:pPr>
            <w:proofErr w:type="spellStart"/>
            <w:r w:rsidRPr="00EB4B5A">
              <w:t>Kazakhstan</w:t>
            </w:r>
            <w:proofErr w:type="spellEnd"/>
          </w:p>
        </w:tc>
        <w:tc>
          <w:tcPr>
            <w:tcW w:w="653" w:type="dxa"/>
          </w:tcPr>
          <w:p w14:paraId="08879E08"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55C650F4" w14:textId="77777777" w:rsidR="00EB4B5A" w:rsidRPr="00EB4B5A" w:rsidRDefault="00EB4B5A" w:rsidP="00EB4B5A">
            <w:pPr>
              <w:jc w:val="center"/>
            </w:pPr>
            <w:r w:rsidRPr="00EB4B5A">
              <w:t>0.73 (0.68-0.79)</w:t>
            </w:r>
          </w:p>
        </w:tc>
        <w:tc>
          <w:tcPr>
            <w:tcW w:w="665" w:type="dxa"/>
          </w:tcPr>
          <w:p w14:paraId="341C7563" w14:textId="77777777" w:rsidR="00EB4B5A" w:rsidRPr="00EB4B5A" w:rsidRDefault="00EB4B5A" w:rsidP="00EB4B5A">
            <w:pPr>
              <w:jc w:val="center"/>
            </w:pPr>
            <w:r w:rsidRPr="00EB4B5A">
              <w:t>0.42 (0.38-0.45)</w:t>
            </w:r>
          </w:p>
        </w:tc>
        <w:tc>
          <w:tcPr>
            <w:tcW w:w="652" w:type="dxa"/>
          </w:tcPr>
          <w:p w14:paraId="42D01B26" w14:textId="77777777" w:rsidR="00EB4B5A" w:rsidRPr="00EB4B5A" w:rsidRDefault="00EB4B5A" w:rsidP="00EB4B5A">
            <w:pPr>
              <w:jc w:val="center"/>
            </w:pPr>
            <w:proofErr w:type="spellStart"/>
            <w:r w:rsidRPr="00EB4B5A">
              <w:t>ref</w:t>
            </w:r>
            <w:proofErr w:type="spellEnd"/>
          </w:p>
        </w:tc>
        <w:tc>
          <w:tcPr>
            <w:tcW w:w="665" w:type="dxa"/>
          </w:tcPr>
          <w:p w14:paraId="44AE65E2" w14:textId="77777777" w:rsidR="00EB4B5A" w:rsidRPr="00EB4B5A" w:rsidRDefault="00EB4B5A" w:rsidP="00EB4B5A">
            <w:pPr>
              <w:jc w:val="center"/>
            </w:pPr>
            <w:r w:rsidRPr="00EB4B5A">
              <w:t>0.75 (0.69-0.81)</w:t>
            </w:r>
          </w:p>
        </w:tc>
        <w:tc>
          <w:tcPr>
            <w:tcW w:w="665" w:type="dxa"/>
          </w:tcPr>
          <w:p w14:paraId="71876A36" w14:textId="77777777" w:rsidR="00EB4B5A" w:rsidRPr="00EB4B5A" w:rsidRDefault="00EB4B5A" w:rsidP="00EB4B5A">
            <w:pPr>
              <w:jc w:val="center"/>
            </w:pPr>
            <w:r w:rsidRPr="00EB4B5A">
              <w:t>0.4 (0.36-0.44)</w:t>
            </w:r>
          </w:p>
        </w:tc>
        <w:tc>
          <w:tcPr>
            <w:tcW w:w="652" w:type="dxa"/>
          </w:tcPr>
          <w:p w14:paraId="73029505" w14:textId="77777777" w:rsidR="00EB4B5A" w:rsidRPr="00EB4B5A" w:rsidRDefault="00EB4B5A" w:rsidP="00EB4B5A">
            <w:pPr>
              <w:jc w:val="center"/>
            </w:pPr>
            <w:proofErr w:type="spellStart"/>
            <w:r w:rsidRPr="00EB4B5A">
              <w:t>ref</w:t>
            </w:r>
            <w:proofErr w:type="spellEnd"/>
          </w:p>
        </w:tc>
        <w:tc>
          <w:tcPr>
            <w:tcW w:w="665" w:type="dxa"/>
          </w:tcPr>
          <w:p w14:paraId="451BE750" w14:textId="77777777" w:rsidR="00EB4B5A" w:rsidRPr="00EB4B5A" w:rsidRDefault="00EB4B5A" w:rsidP="00EB4B5A">
            <w:pPr>
              <w:jc w:val="center"/>
            </w:pPr>
            <w:r w:rsidRPr="00EB4B5A">
              <w:t>0.78 (0.72-0.85)</w:t>
            </w:r>
          </w:p>
        </w:tc>
        <w:tc>
          <w:tcPr>
            <w:tcW w:w="955" w:type="dxa"/>
          </w:tcPr>
          <w:p w14:paraId="5A85C3B3" w14:textId="77777777" w:rsidR="00EB4B5A" w:rsidRPr="00EB4B5A" w:rsidRDefault="00EB4B5A" w:rsidP="00EB4B5A">
            <w:pPr>
              <w:jc w:val="center"/>
            </w:pPr>
            <w:r w:rsidRPr="00EB4B5A">
              <w:t>0.66 (0.6-0.73)</w:t>
            </w:r>
          </w:p>
        </w:tc>
      </w:tr>
      <w:tr w:rsidR="00EB4B5A" w:rsidRPr="00EB4B5A" w14:paraId="33F930C9" w14:textId="77777777" w:rsidTr="00365C12">
        <w:trPr>
          <w:jc w:val="center"/>
        </w:trPr>
        <w:tc>
          <w:tcPr>
            <w:tcW w:w="1374" w:type="dxa"/>
          </w:tcPr>
          <w:p w14:paraId="2DF4439F" w14:textId="77777777" w:rsidR="00EB4B5A" w:rsidRPr="00EB4B5A" w:rsidRDefault="00EB4B5A" w:rsidP="00EB4B5A">
            <w:pPr>
              <w:spacing w:after="160" w:line="259" w:lineRule="auto"/>
              <w:jc w:val="center"/>
            </w:pPr>
          </w:p>
        </w:tc>
        <w:tc>
          <w:tcPr>
            <w:tcW w:w="1173" w:type="dxa"/>
          </w:tcPr>
          <w:p w14:paraId="0ED301FB" w14:textId="77777777" w:rsidR="00EB4B5A" w:rsidRPr="00EB4B5A" w:rsidRDefault="00EB4B5A" w:rsidP="00EB4B5A">
            <w:pPr>
              <w:spacing w:after="160" w:line="259" w:lineRule="auto"/>
              <w:jc w:val="center"/>
            </w:pPr>
            <w:proofErr w:type="spellStart"/>
            <w:r w:rsidRPr="00EB4B5A">
              <w:t>Latvia</w:t>
            </w:r>
            <w:proofErr w:type="spellEnd"/>
          </w:p>
        </w:tc>
        <w:tc>
          <w:tcPr>
            <w:tcW w:w="653" w:type="dxa"/>
          </w:tcPr>
          <w:p w14:paraId="4FFFBE25"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12E619E" w14:textId="77777777" w:rsidR="00EB4B5A" w:rsidRPr="00EB4B5A" w:rsidRDefault="00EB4B5A" w:rsidP="00EB4B5A">
            <w:pPr>
              <w:jc w:val="center"/>
            </w:pPr>
            <w:r w:rsidRPr="00EB4B5A">
              <w:t>0.77 (0.65-0.91)</w:t>
            </w:r>
          </w:p>
        </w:tc>
        <w:tc>
          <w:tcPr>
            <w:tcW w:w="665" w:type="dxa"/>
          </w:tcPr>
          <w:p w14:paraId="0B63AB84" w14:textId="77777777" w:rsidR="00EB4B5A" w:rsidRPr="00EB4B5A" w:rsidRDefault="00EB4B5A" w:rsidP="00EB4B5A">
            <w:pPr>
              <w:jc w:val="center"/>
            </w:pPr>
            <w:r w:rsidRPr="00EB4B5A">
              <w:t>0.59 (0.43-0.82)</w:t>
            </w:r>
          </w:p>
        </w:tc>
        <w:tc>
          <w:tcPr>
            <w:tcW w:w="652" w:type="dxa"/>
          </w:tcPr>
          <w:p w14:paraId="09B79483" w14:textId="77777777" w:rsidR="00EB4B5A" w:rsidRPr="00EB4B5A" w:rsidRDefault="00EB4B5A" w:rsidP="00EB4B5A">
            <w:pPr>
              <w:jc w:val="center"/>
            </w:pPr>
            <w:proofErr w:type="spellStart"/>
            <w:r w:rsidRPr="00EB4B5A">
              <w:t>ref</w:t>
            </w:r>
            <w:proofErr w:type="spellEnd"/>
          </w:p>
        </w:tc>
        <w:tc>
          <w:tcPr>
            <w:tcW w:w="665" w:type="dxa"/>
          </w:tcPr>
          <w:p w14:paraId="62C929D9" w14:textId="77777777" w:rsidR="00EB4B5A" w:rsidRPr="00EB4B5A" w:rsidRDefault="00EB4B5A" w:rsidP="00EB4B5A">
            <w:pPr>
              <w:jc w:val="center"/>
            </w:pPr>
            <w:r w:rsidRPr="00EB4B5A">
              <w:t>0.72 (0.6-0.85)</w:t>
            </w:r>
          </w:p>
        </w:tc>
        <w:tc>
          <w:tcPr>
            <w:tcW w:w="665" w:type="dxa"/>
          </w:tcPr>
          <w:p w14:paraId="5A5755E1" w14:textId="77777777" w:rsidR="00EB4B5A" w:rsidRPr="00EB4B5A" w:rsidRDefault="00EB4B5A" w:rsidP="00EB4B5A">
            <w:pPr>
              <w:jc w:val="center"/>
            </w:pPr>
            <w:r w:rsidRPr="00EB4B5A">
              <w:t>0.6 (0.42-0.86)</w:t>
            </w:r>
          </w:p>
        </w:tc>
        <w:tc>
          <w:tcPr>
            <w:tcW w:w="652" w:type="dxa"/>
          </w:tcPr>
          <w:p w14:paraId="63866FBA" w14:textId="77777777" w:rsidR="00EB4B5A" w:rsidRPr="00EB4B5A" w:rsidRDefault="00EB4B5A" w:rsidP="00EB4B5A">
            <w:pPr>
              <w:jc w:val="center"/>
            </w:pPr>
            <w:proofErr w:type="spellStart"/>
            <w:r w:rsidRPr="00EB4B5A">
              <w:t>ref</w:t>
            </w:r>
            <w:proofErr w:type="spellEnd"/>
          </w:p>
        </w:tc>
        <w:tc>
          <w:tcPr>
            <w:tcW w:w="665" w:type="dxa"/>
          </w:tcPr>
          <w:p w14:paraId="37792E5A" w14:textId="77777777" w:rsidR="00EB4B5A" w:rsidRPr="00EB4B5A" w:rsidRDefault="00EB4B5A" w:rsidP="00EB4B5A">
            <w:pPr>
              <w:jc w:val="center"/>
            </w:pPr>
            <w:r w:rsidRPr="00EB4B5A">
              <w:t>0.87 (0.73-1.04)</w:t>
            </w:r>
          </w:p>
        </w:tc>
        <w:tc>
          <w:tcPr>
            <w:tcW w:w="955" w:type="dxa"/>
          </w:tcPr>
          <w:p w14:paraId="3EF40F3B" w14:textId="77777777" w:rsidR="00EB4B5A" w:rsidRPr="00EB4B5A" w:rsidRDefault="00EB4B5A" w:rsidP="00EB4B5A">
            <w:pPr>
              <w:jc w:val="center"/>
            </w:pPr>
            <w:r w:rsidRPr="00EB4B5A">
              <w:t>1.07 (0.77-1.47)</w:t>
            </w:r>
          </w:p>
        </w:tc>
      </w:tr>
      <w:tr w:rsidR="00EB4B5A" w:rsidRPr="00EB4B5A" w14:paraId="35F7BD9F" w14:textId="77777777" w:rsidTr="00365C12">
        <w:trPr>
          <w:jc w:val="center"/>
        </w:trPr>
        <w:tc>
          <w:tcPr>
            <w:tcW w:w="1374" w:type="dxa"/>
          </w:tcPr>
          <w:p w14:paraId="79D16D80" w14:textId="77777777" w:rsidR="00EB4B5A" w:rsidRPr="00EB4B5A" w:rsidRDefault="00EB4B5A" w:rsidP="00EB4B5A">
            <w:pPr>
              <w:spacing w:after="160" w:line="259" w:lineRule="auto"/>
              <w:jc w:val="center"/>
            </w:pPr>
          </w:p>
        </w:tc>
        <w:tc>
          <w:tcPr>
            <w:tcW w:w="1173" w:type="dxa"/>
          </w:tcPr>
          <w:p w14:paraId="7262C993" w14:textId="77777777" w:rsidR="00EB4B5A" w:rsidRPr="00EB4B5A" w:rsidRDefault="00EB4B5A" w:rsidP="00EB4B5A">
            <w:pPr>
              <w:spacing w:after="160" w:line="259" w:lineRule="auto"/>
              <w:jc w:val="center"/>
            </w:pPr>
            <w:proofErr w:type="spellStart"/>
            <w:r w:rsidRPr="00EB4B5A">
              <w:t>Lithuania</w:t>
            </w:r>
            <w:proofErr w:type="spellEnd"/>
          </w:p>
        </w:tc>
        <w:tc>
          <w:tcPr>
            <w:tcW w:w="653" w:type="dxa"/>
          </w:tcPr>
          <w:p w14:paraId="52DBF2D4"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5AFF948B" w14:textId="77777777" w:rsidR="00EB4B5A" w:rsidRPr="00EB4B5A" w:rsidRDefault="00EB4B5A" w:rsidP="00EB4B5A">
            <w:pPr>
              <w:jc w:val="center"/>
            </w:pPr>
            <w:r w:rsidRPr="00EB4B5A">
              <w:t>0.78 (0.67-0.91)</w:t>
            </w:r>
          </w:p>
        </w:tc>
        <w:tc>
          <w:tcPr>
            <w:tcW w:w="665" w:type="dxa"/>
          </w:tcPr>
          <w:p w14:paraId="19F2770F" w14:textId="77777777" w:rsidR="00EB4B5A" w:rsidRPr="00EB4B5A" w:rsidRDefault="00EB4B5A" w:rsidP="00EB4B5A">
            <w:pPr>
              <w:jc w:val="center"/>
            </w:pPr>
            <w:r w:rsidRPr="00EB4B5A">
              <w:t>0.43 (0.32-0.56)</w:t>
            </w:r>
          </w:p>
        </w:tc>
        <w:tc>
          <w:tcPr>
            <w:tcW w:w="652" w:type="dxa"/>
          </w:tcPr>
          <w:p w14:paraId="05CE36C5" w14:textId="77777777" w:rsidR="00EB4B5A" w:rsidRPr="00EB4B5A" w:rsidRDefault="00EB4B5A" w:rsidP="00EB4B5A">
            <w:pPr>
              <w:jc w:val="center"/>
            </w:pPr>
            <w:proofErr w:type="spellStart"/>
            <w:r w:rsidRPr="00EB4B5A">
              <w:t>ref</w:t>
            </w:r>
            <w:proofErr w:type="spellEnd"/>
          </w:p>
        </w:tc>
        <w:tc>
          <w:tcPr>
            <w:tcW w:w="665" w:type="dxa"/>
          </w:tcPr>
          <w:p w14:paraId="5317DF82" w14:textId="77777777" w:rsidR="00EB4B5A" w:rsidRPr="00EB4B5A" w:rsidRDefault="00EB4B5A" w:rsidP="00EB4B5A">
            <w:pPr>
              <w:jc w:val="center"/>
            </w:pPr>
            <w:r w:rsidRPr="00EB4B5A">
              <w:t>0.67 (0.57-0.78)</w:t>
            </w:r>
          </w:p>
        </w:tc>
        <w:tc>
          <w:tcPr>
            <w:tcW w:w="665" w:type="dxa"/>
          </w:tcPr>
          <w:p w14:paraId="55E6640E" w14:textId="77777777" w:rsidR="00EB4B5A" w:rsidRPr="00EB4B5A" w:rsidRDefault="00EB4B5A" w:rsidP="00EB4B5A">
            <w:pPr>
              <w:jc w:val="center"/>
            </w:pPr>
            <w:r w:rsidRPr="00EB4B5A">
              <w:t>0.41 (0.3-0.55)</w:t>
            </w:r>
          </w:p>
        </w:tc>
        <w:tc>
          <w:tcPr>
            <w:tcW w:w="652" w:type="dxa"/>
          </w:tcPr>
          <w:p w14:paraId="02994129" w14:textId="77777777" w:rsidR="00EB4B5A" w:rsidRPr="00EB4B5A" w:rsidRDefault="00EB4B5A" w:rsidP="00EB4B5A">
            <w:pPr>
              <w:jc w:val="center"/>
            </w:pPr>
            <w:proofErr w:type="spellStart"/>
            <w:r w:rsidRPr="00EB4B5A">
              <w:t>ref</w:t>
            </w:r>
            <w:proofErr w:type="spellEnd"/>
          </w:p>
        </w:tc>
        <w:tc>
          <w:tcPr>
            <w:tcW w:w="665" w:type="dxa"/>
          </w:tcPr>
          <w:p w14:paraId="4C656DBA" w14:textId="77777777" w:rsidR="00EB4B5A" w:rsidRPr="00EB4B5A" w:rsidRDefault="00EB4B5A" w:rsidP="00EB4B5A">
            <w:pPr>
              <w:jc w:val="center"/>
            </w:pPr>
            <w:r w:rsidRPr="00EB4B5A">
              <w:t>1.03 (0.88-1.21)</w:t>
            </w:r>
          </w:p>
        </w:tc>
        <w:tc>
          <w:tcPr>
            <w:tcW w:w="955" w:type="dxa"/>
          </w:tcPr>
          <w:p w14:paraId="6A2F5C60" w14:textId="77777777" w:rsidR="00EB4B5A" w:rsidRPr="00EB4B5A" w:rsidRDefault="00EB4B5A" w:rsidP="00EB4B5A">
            <w:pPr>
              <w:jc w:val="center"/>
            </w:pPr>
            <w:r w:rsidRPr="00EB4B5A">
              <w:t>1.26 (0.9-1.77)</w:t>
            </w:r>
          </w:p>
        </w:tc>
      </w:tr>
      <w:tr w:rsidR="00EB4B5A" w:rsidRPr="00EB4B5A" w14:paraId="37B39CAE" w14:textId="77777777" w:rsidTr="00365C12">
        <w:trPr>
          <w:jc w:val="center"/>
        </w:trPr>
        <w:tc>
          <w:tcPr>
            <w:tcW w:w="1374" w:type="dxa"/>
          </w:tcPr>
          <w:p w14:paraId="7C324211" w14:textId="77777777" w:rsidR="00EB4B5A" w:rsidRPr="00EB4B5A" w:rsidRDefault="00EB4B5A" w:rsidP="00EB4B5A">
            <w:pPr>
              <w:spacing w:after="160" w:line="259" w:lineRule="auto"/>
              <w:jc w:val="center"/>
            </w:pPr>
          </w:p>
        </w:tc>
        <w:tc>
          <w:tcPr>
            <w:tcW w:w="1173" w:type="dxa"/>
          </w:tcPr>
          <w:p w14:paraId="2F1D870E" w14:textId="77777777" w:rsidR="00EB4B5A" w:rsidRPr="00EB4B5A" w:rsidRDefault="00EB4B5A" w:rsidP="00EB4B5A">
            <w:pPr>
              <w:spacing w:after="160" w:line="259" w:lineRule="auto"/>
              <w:jc w:val="center"/>
            </w:pPr>
            <w:proofErr w:type="spellStart"/>
            <w:r w:rsidRPr="00EB4B5A">
              <w:t>Poland</w:t>
            </w:r>
            <w:proofErr w:type="spellEnd"/>
          </w:p>
        </w:tc>
        <w:tc>
          <w:tcPr>
            <w:tcW w:w="653" w:type="dxa"/>
          </w:tcPr>
          <w:p w14:paraId="1AD2E7C0"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811650D" w14:textId="77777777" w:rsidR="00EB4B5A" w:rsidRPr="00EB4B5A" w:rsidRDefault="00EB4B5A" w:rsidP="00EB4B5A">
            <w:pPr>
              <w:jc w:val="center"/>
            </w:pPr>
            <w:r w:rsidRPr="00EB4B5A">
              <w:t>0.65 (0.53-0.81)</w:t>
            </w:r>
          </w:p>
        </w:tc>
        <w:tc>
          <w:tcPr>
            <w:tcW w:w="665" w:type="dxa"/>
          </w:tcPr>
          <w:p w14:paraId="3E5E7552" w14:textId="77777777" w:rsidR="00EB4B5A" w:rsidRPr="00EB4B5A" w:rsidRDefault="00EB4B5A" w:rsidP="00EB4B5A">
            <w:pPr>
              <w:jc w:val="center"/>
            </w:pPr>
            <w:r w:rsidRPr="00EB4B5A">
              <w:t>0.48 (0.33-0.68)</w:t>
            </w:r>
          </w:p>
        </w:tc>
        <w:tc>
          <w:tcPr>
            <w:tcW w:w="652" w:type="dxa"/>
          </w:tcPr>
          <w:p w14:paraId="48C79D36" w14:textId="77777777" w:rsidR="00EB4B5A" w:rsidRPr="00EB4B5A" w:rsidRDefault="00EB4B5A" w:rsidP="00EB4B5A">
            <w:pPr>
              <w:jc w:val="center"/>
            </w:pPr>
            <w:proofErr w:type="spellStart"/>
            <w:r w:rsidRPr="00EB4B5A">
              <w:t>ref</w:t>
            </w:r>
            <w:proofErr w:type="spellEnd"/>
          </w:p>
        </w:tc>
        <w:tc>
          <w:tcPr>
            <w:tcW w:w="665" w:type="dxa"/>
          </w:tcPr>
          <w:p w14:paraId="2CE6F2F7" w14:textId="77777777" w:rsidR="00EB4B5A" w:rsidRPr="00EB4B5A" w:rsidRDefault="00EB4B5A" w:rsidP="00EB4B5A">
            <w:pPr>
              <w:jc w:val="center"/>
            </w:pPr>
            <w:r w:rsidRPr="00EB4B5A">
              <w:t>0.67 (0.57-0.8)</w:t>
            </w:r>
          </w:p>
        </w:tc>
        <w:tc>
          <w:tcPr>
            <w:tcW w:w="665" w:type="dxa"/>
          </w:tcPr>
          <w:p w14:paraId="3303B91C" w14:textId="77777777" w:rsidR="00EB4B5A" w:rsidRPr="00EB4B5A" w:rsidRDefault="00EB4B5A" w:rsidP="00EB4B5A">
            <w:pPr>
              <w:jc w:val="center"/>
            </w:pPr>
            <w:r w:rsidRPr="00EB4B5A">
              <w:t>0.63 (0.45-0.89)</w:t>
            </w:r>
          </w:p>
        </w:tc>
        <w:tc>
          <w:tcPr>
            <w:tcW w:w="652" w:type="dxa"/>
          </w:tcPr>
          <w:p w14:paraId="30E136AC" w14:textId="77777777" w:rsidR="00EB4B5A" w:rsidRPr="00EB4B5A" w:rsidRDefault="00EB4B5A" w:rsidP="00EB4B5A">
            <w:pPr>
              <w:jc w:val="center"/>
            </w:pPr>
            <w:proofErr w:type="spellStart"/>
            <w:r w:rsidRPr="00EB4B5A">
              <w:t>ref</w:t>
            </w:r>
            <w:proofErr w:type="spellEnd"/>
          </w:p>
        </w:tc>
        <w:tc>
          <w:tcPr>
            <w:tcW w:w="665" w:type="dxa"/>
          </w:tcPr>
          <w:p w14:paraId="4AFB339C" w14:textId="77777777" w:rsidR="00EB4B5A" w:rsidRPr="00EB4B5A" w:rsidRDefault="00EB4B5A" w:rsidP="00EB4B5A">
            <w:pPr>
              <w:jc w:val="center"/>
            </w:pPr>
            <w:r w:rsidRPr="00EB4B5A">
              <w:t>0.85 (0.72-0.99)</w:t>
            </w:r>
          </w:p>
        </w:tc>
        <w:tc>
          <w:tcPr>
            <w:tcW w:w="955" w:type="dxa"/>
          </w:tcPr>
          <w:p w14:paraId="21F7BA52" w14:textId="77777777" w:rsidR="00EB4B5A" w:rsidRPr="00EB4B5A" w:rsidRDefault="00EB4B5A" w:rsidP="00EB4B5A">
            <w:pPr>
              <w:jc w:val="center"/>
            </w:pPr>
            <w:r w:rsidRPr="00EB4B5A">
              <w:t>1.07 (0.77-1.5)</w:t>
            </w:r>
          </w:p>
        </w:tc>
      </w:tr>
      <w:tr w:rsidR="00EB4B5A" w:rsidRPr="00EB4B5A" w14:paraId="4893B30C" w14:textId="77777777" w:rsidTr="00365C12">
        <w:trPr>
          <w:jc w:val="center"/>
        </w:trPr>
        <w:tc>
          <w:tcPr>
            <w:tcW w:w="1374" w:type="dxa"/>
          </w:tcPr>
          <w:p w14:paraId="008E7E3B" w14:textId="77777777" w:rsidR="00EB4B5A" w:rsidRPr="00EB4B5A" w:rsidRDefault="00EB4B5A" w:rsidP="00EB4B5A">
            <w:pPr>
              <w:spacing w:after="160" w:line="259" w:lineRule="auto"/>
              <w:jc w:val="center"/>
            </w:pPr>
          </w:p>
        </w:tc>
        <w:tc>
          <w:tcPr>
            <w:tcW w:w="1173" w:type="dxa"/>
          </w:tcPr>
          <w:p w14:paraId="758D47B1" w14:textId="77777777" w:rsidR="00EB4B5A" w:rsidRPr="00EB4B5A" w:rsidRDefault="00EB4B5A" w:rsidP="00EB4B5A">
            <w:pPr>
              <w:spacing w:after="160" w:line="259" w:lineRule="auto"/>
              <w:jc w:val="center"/>
            </w:pPr>
            <w:proofErr w:type="spellStart"/>
            <w:r w:rsidRPr="00EB4B5A">
              <w:t>Russian</w:t>
            </w:r>
            <w:proofErr w:type="spellEnd"/>
            <w:r w:rsidRPr="00EB4B5A">
              <w:t xml:space="preserve"> </w:t>
            </w:r>
            <w:proofErr w:type="spellStart"/>
            <w:r w:rsidRPr="00EB4B5A">
              <w:t>Federation</w:t>
            </w:r>
            <w:proofErr w:type="spellEnd"/>
          </w:p>
        </w:tc>
        <w:tc>
          <w:tcPr>
            <w:tcW w:w="653" w:type="dxa"/>
          </w:tcPr>
          <w:p w14:paraId="48043C39"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658743E0" w14:textId="77777777" w:rsidR="00EB4B5A" w:rsidRPr="00EB4B5A" w:rsidRDefault="00EB4B5A" w:rsidP="00EB4B5A">
            <w:pPr>
              <w:jc w:val="center"/>
            </w:pPr>
            <w:r w:rsidRPr="00EB4B5A">
              <w:t>0.76 (0.65-0.89)</w:t>
            </w:r>
          </w:p>
        </w:tc>
        <w:tc>
          <w:tcPr>
            <w:tcW w:w="665" w:type="dxa"/>
          </w:tcPr>
          <w:p w14:paraId="1143DB2B" w14:textId="77777777" w:rsidR="00EB4B5A" w:rsidRPr="00EB4B5A" w:rsidRDefault="00EB4B5A" w:rsidP="00EB4B5A">
            <w:pPr>
              <w:jc w:val="center"/>
            </w:pPr>
            <w:r w:rsidRPr="00EB4B5A">
              <w:t>0.54 (0.39-0.75)</w:t>
            </w:r>
          </w:p>
        </w:tc>
        <w:tc>
          <w:tcPr>
            <w:tcW w:w="652" w:type="dxa"/>
          </w:tcPr>
          <w:p w14:paraId="733BBE96" w14:textId="77777777" w:rsidR="00EB4B5A" w:rsidRPr="00EB4B5A" w:rsidRDefault="00EB4B5A" w:rsidP="00EB4B5A">
            <w:pPr>
              <w:jc w:val="center"/>
            </w:pPr>
            <w:proofErr w:type="spellStart"/>
            <w:r w:rsidRPr="00EB4B5A">
              <w:t>ref</w:t>
            </w:r>
            <w:proofErr w:type="spellEnd"/>
          </w:p>
        </w:tc>
        <w:tc>
          <w:tcPr>
            <w:tcW w:w="665" w:type="dxa"/>
          </w:tcPr>
          <w:p w14:paraId="560B62A6" w14:textId="77777777" w:rsidR="00EB4B5A" w:rsidRPr="00EB4B5A" w:rsidRDefault="00EB4B5A" w:rsidP="00EB4B5A">
            <w:pPr>
              <w:jc w:val="center"/>
            </w:pPr>
            <w:r w:rsidRPr="00EB4B5A">
              <w:t>0.65 (0.57-0.74)</w:t>
            </w:r>
          </w:p>
        </w:tc>
        <w:tc>
          <w:tcPr>
            <w:tcW w:w="665" w:type="dxa"/>
          </w:tcPr>
          <w:p w14:paraId="0DD45259" w14:textId="77777777" w:rsidR="00EB4B5A" w:rsidRPr="00EB4B5A" w:rsidRDefault="00EB4B5A" w:rsidP="00EB4B5A">
            <w:pPr>
              <w:jc w:val="center"/>
            </w:pPr>
            <w:r w:rsidRPr="00EB4B5A">
              <w:t>0.33 (0.27-0.39)</w:t>
            </w:r>
          </w:p>
        </w:tc>
        <w:tc>
          <w:tcPr>
            <w:tcW w:w="652" w:type="dxa"/>
          </w:tcPr>
          <w:p w14:paraId="2567E438" w14:textId="77777777" w:rsidR="00EB4B5A" w:rsidRPr="00EB4B5A" w:rsidRDefault="00EB4B5A" w:rsidP="00EB4B5A">
            <w:pPr>
              <w:jc w:val="center"/>
            </w:pPr>
            <w:proofErr w:type="spellStart"/>
            <w:r w:rsidRPr="00EB4B5A">
              <w:t>ref</w:t>
            </w:r>
            <w:proofErr w:type="spellEnd"/>
          </w:p>
        </w:tc>
        <w:tc>
          <w:tcPr>
            <w:tcW w:w="665" w:type="dxa"/>
          </w:tcPr>
          <w:p w14:paraId="1DAB018D" w14:textId="77777777" w:rsidR="00EB4B5A" w:rsidRPr="00EB4B5A" w:rsidRDefault="00EB4B5A" w:rsidP="00EB4B5A">
            <w:pPr>
              <w:jc w:val="center"/>
            </w:pPr>
            <w:r w:rsidRPr="00EB4B5A">
              <w:t>0.93 (0.81-1.06)</w:t>
            </w:r>
          </w:p>
        </w:tc>
        <w:tc>
          <w:tcPr>
            <w:tcW w:w="955" w:type="dxa"/>
          </w:tcPr>
          <w:p w14:paraId="44674375" w14:textId="77777777" w:rsidR="00EB4B5A" w:rsidRPr="00EB4B5A" w:rsidRDefault="00EB4B5A" w:rsidP="00EB4B5A">
            <w:pPr>
              <w:jc w:val="center"/>
            </w:pPr>
            <w:r w:rsidRPr="00EB4B5A">
              <w:t>0.96 (0.8-1.14)</w:t>
            </w:r>
          </w:p>
        </w:tc>
      </w:tr>
      <w:tr w:rsidR="00EB4B5A" w:rsidRPr="00EB4B5A" w14:paraId="5615F6A0" w14:textId="77777777" w:rsidTr="00365C12">
        <w:trPr>
          <w:jc w:val="center"/>
        </w:trPr>
        <w:tc>
          <w:tcPr>
            <w:tcW w:w="1374" w:type="dxa"/>
          </w:tcPr>
          <w:p w14:paraId="6548C181" w14:textId="77777777" w:rsidR="00EB4B5A" w:rsidRPr="00EB4B5A" w:rsidRDefault="00EB4B5A" w:rsidP="00EB4B5A">
            <w:pPr>
              <w:spacing w:after="160" w:line="259" w:lineRule="auto"/>
              <w:jc w:val="center"/>
            </w:pPr>
          </w:p>
        </w:tc>
        <w:tc>
          <w:tcPr>
            <w:tcW w:w="1173" w:type="dxa"/>
          </w:tcPr>
          <w:p w14:paraId="33344C27" w14:textId="77777777" w:rsidR="00EB4B5A" w:rsidRPr="00EB4B5A" w:rsidRDefault="00EB4B5A" w:rsidP="00EB4B5A">
            <w:pPr>
              <w:spacing w:after="160" w:line="259" w:lineRule="auto"/>
              <w:jc w:val="center"/>
            </w:pPr>
            <w:proofErr w:type="spellStart"/>
            <w:r w:rsidRPr="00EB4B5A">
              <w:t>Slovak</w:t>
            </w:r>
            <w:proofErr w:type="spellEnd"/>
            <w:r w:rsidRPr="00EB4B5A">
              <w:t xml:space="preserve"> </w:t>
            </w:r>
            <w:proofErr w:type="spellStart"/>
            <w:r w:rsidRPr="00EB4B5A">
              <w:t>Republic</w:t>
            </w:r>
            <w:proofErr w:type="spellEnd"/>
          </w:p>
        </w:tc>
        <w:tc>
          <w:tcPr>
            <w:tcW w:w="653" w:type="dxa"/>
          </w:tcPr>
          <w:p w14:paraId="785A4949"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ABA5C8C" w14:textId="77777777" w:rsidR="00EB4B5A" w:rsidRPr="00EB4B5A" w:rsidRDefault="00EB4B5A" w:rsidP="00EB4B5A">
            <w:pPr>
              <w:jc w:val="center"/>
            </w:pPr>
            <w:r w:rsidRPr="00EB4B5A">
              <w:t>0.64 (0.57-0.72)</w:t>
            </w:r>
          </w:p>
        </w:tc>
        <w:tc>
          <w:tcPr>
            <w:tcW w:w="665" w:type="dxa"/>
          </w:tcPr>
          <w:p w14:paraId="1A7D3769" w14:textId="77777777" w:rsidR="00EB4B5A" w:rsidRPr="00EB4B5A" w:rsidRDefault="00EB4B5A" w:rsidP="00EB4B5A">
            <w:pPr>
              <w:jc w:val="center"/>
            </w:pPr>
            <w:r w:rsidRPr="00EB4B5A">
              <w:t>0.36 (0.31-0.43)</w:t>
            </w:r>
          </w:p>
        </w:tc>
        <w:tc>
          <w:tcPr>
            <w:tcW w:w="652" w:type="dxa"/>
          </w:tcPr>
          <w:p w14:paraId="50C374BC" w14:textId="77777777" w:rsidR="00EB4B5A" w:rsidRPr="00EB4B5A" w:rsidRDefault="00EB4B5A" w:rsidP="00EB4B5A">
            <w:pPr>
              <w:jc w:val="center"/>
            </w:pPr>
            <w:proofErr w:type="spellStart"/>
            <w:r w:rsidRPr="00EB4B5A">
              <w:t>ref</w:t>
            </w:r>
            <w:proofErr w:type="spellEnd"/>
          </w:p>
        </w:tc>
        <w:tc>
          <w:tcPr>
            <w:tcW w:w="665" w:type="dxa"/>
          </w:tcPr>
          <w:p w14:paraId="756235F9" w14:textId="77777777" w:rsidR="00EB4B5A" w:rsidRPr="00EB4B5A" w:rsidRDefault="00EB4B5A" w:rsidP="00EB4B5A">
            <w:pPr>
              <w:jc w:val="center"/>
            </w:pPr>
            <w:r w:rsidRPr="00EB4B5A">
              <w:t>0.83 (0.73-0.95)</w:t>
            </w:r>
          </w:p>
        </w:tc>
        <w:tc>
          <w:tcPr>
            <w:tcW w:w="665" w:type="dxa"/>
          </w:tcPr>
          <w:p w14:paraId="53BD7DF4" w14:textId="77777777" w:rsidR="00EB4B5A" w:rsidRPr="00EB4B5A" w:rsidRDefault="00EB4B5A" w:rsidP="00EB4B5A">
            <w:pPr>
              <w:jc w:val="center"/>
            </w:pPr>
            <w:r w:rsidRPr="00EB4B5A">
              <w:t>0.53 (0.42-0.66)</w:t>
            </w:r>
          </w:p>
        </w:tc>
        <w:tc>
          <w:tcPr>
            <w:tcW w:w="652" w:type="dxa"/>
          </w:tcPr>
          <w:p w14:paraId="2795D415" w14:textId="77777777" w:rsidR="00EB4B5A" w:rsidRPr="00EB4B5A" w:rsidRDefault="00EB4B5A" w:rsidP="00EB4B5A">
            <w:pPr>
              <w:jc w:val="center"/>
            </w:pPr>
            <w:proofErr w:type="spellStart"/>
            <w:r w:rsidRPr="00EB4B5A">
              <w:t>ref</w:t>
            </w:r>
            <w:proofErr w:type="spellEnd"/>
          </w:p>
        </w:tc>
        <w:tc>
          <w:tcPr>
            <w:tcW w:w="665" w:type="dxa"/>
          </w:tcPr>
          <w:p w14:paraId="39F5E652" w14:textId="77777777" w:rsidR="00EB4B5A" w:rsidRPr="00EB4B5A" w:rsidRDefault="00EB4B5A" w:rsidP="00EB4B5A">
            <w:pPr>
              <w:jc w:val="center"/>
            </w:pPr>
            <w:r w:rsidRPr="00EB4B5A">
              <w:t>0.91 (0.79-1.04)</w:t>
            </w:r>
          </w:p>
        </w:tc>
        <w:tc>
          <w:tcPr>
            <w:tcW w:w="955" w:type="dxa"/>
          </w:tcPr>
          <w:p w14:paraId="2991B693" w14:textId="77777777" w:rsidR="00EB4B5A" w:rsidRPr="00EB4B5A" w:rsidRDefault="00EB4B5A" w:rsidP="00EB4B5A">
            <w:pPr>
              <w:jc w:val="center"/>
            </w:pPr>
            <w:r w:rsidRPr="00EB4B5A">
              <w:t>1.22 (0.96-1.54)</w:t>
            </w:r>
          </w:p>
        </w:tc>
      </w:tr>
      <w:tr w:rsidR="00EB4B5A" w:rsidRPr="00EB4B5A" w14:paraId="4B87C5B7" w14:textId="77777777" w:rsidTr="00365C12">
        <w:trPr>
          <w:jc w:val="center"/>
        </w:trPr>
        <w:tc>
          <w:tcPr>
            <w:tcW w:w="1374" w:type="dxa"/>
          </w:tcPr>
          <w:p w14:paraId="23A32E12" w14:textId="77777777" w:rsidR="00EB4B5A" w:rsidRPr="00EB4B5A" w:rsidRDefault="00EB4B5A" w:rsidP="00EB4B5A">
            <w:pPr>
              <w:spacing w:after="160" w:line="259" w:lineRule="auto"/>
              <w:jc w:val="center"/>
            </w:pPr>
          </w:p>
        </w:tc>
        <w:tc>
          <w:tcPr>
            <w:tcW w:w="1173" w:type="dxa"/>
          </w:tcPr>
          <w:p w14:paraId="462B2921" w14:textId="77777777" w:rsidR="00EB4B5A" w:rsidRPr="00EB4B5A" w:rsidRDefault="00EB4B5A" w:rsidP="00EB4B5A">
            <w:pPr>
              <w:spacing w:after="160" w:line="259" w:lineRule="auto"/>
              <w:jc w:val="center"/>
            </w:pPr>
            <w:proofErr w:type="spellStart"/>
            <w:r w:rsidRPr="00EB4B5A">
              <w:t>Slovenia</w:t>
            </w:r>
            <w:proofErr w:type="spellEnd"/>
          </w:p>
        </w:tc>
        <w:tc>
          <w:tcPr>
            <w:tcW w:w="653" w:type="dxa"/>
          </w:tcPr>
          <w:p w14:paraId="00D5A07F"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1E7AE2E2" w14:textId="77777777" w:rsidR="00EB4B5A" w:rsidRPr="00EB4B5A" w:rsidRDefault="00EB4B5A" w:rsidP="00EB4B5A">
            <w:pPr>
              <w:jc w:val="center"/>
            </w:pPr>
            <w:r w:rsidRPr="00EB4B5A">
              <w:t>0.83 (0.73-0.95)</w:t>
            </w:r>
          </w:p>
        </w:tc>
        <w:tc>
          <w:tcPr>
            <w:tcW w:w="665" w:type="dxa"/>
          </w:tcPr>
          <w:p w14:paraId="6B5EBB29" w14:textId="77777777" w:rsidR="00EB4B5A" w:rsidRPr="00EB4B5A" w:rsidRDefault="00EB4B5A" w:rsidP="00EB4B5A">
            <w:pPr>
              <w:jc w:val="center"/>
            </w:pPr>
            <w:r w:rsidRPr="00EB4B5A">
              <w:t>0.59 (0.48-0.74)</w:t>
            </w:r>
          </w:p>
        </w:tc>
        <w:tc>
          <w:tcPr>
            <w:tcW w:w="652" w:type="dxa"/>
          </w:tcPr>
          <w:p w14:paraId="2C3F0F0A" w14:textId="77777777" w:rsidR="00EB4B5A" w:rsidRPr="00EB4B5A" w:rsidRDefault="00EB4B5A" w:rsidP="00EB4B5A">
            <w:pPr>
              <w:jc w:val="center"/>
            </w:pPr>
            <w:proofErr w:type="spellStart"/>
            <w:r w:rsidRPr="00EB4B5A">
              <w:t>ref</w:t>
            </w:r>
            <w:proofErr w:type="spellEnd"/>
          </w:p>
        </w:tc>
        <w:tc>
          <w:tcPr>
            <w:tcW w:w="665" w:type="dxa"/>
          </w:tcPr>
          <w:p w14:paraId="0A30CD86" w14:textId="77777777" w:rsidR="00EB4B5A" w:rsidRPr="00EB4B5A" w:rsidRDefault="00EB4B5A" w:rsidP="00EB4B5A">
            <w:pPr>
              <w:jc w:val="center"/>
            </w:pPr>
            <w:r w:rsidRPr="00EB4B5A">
              <w:t>0.72 (0.63-0.81)</w:t>
            </w:r>
          </w:p>
        </w:tc>
        <w:tc>
          <w:tcPr>
            <w:tcW w:w="665" w:type="dxa"/>
          </w:tcPr>
          <w:p w14:paraId="0D494DD2" w14:textId="77777777" w:rsidR="00EB4B5A" w:rsidRPr="00EB4B5A" w:rsidRDefault="00EB4B5A" w:rsidP="00EB4B5A">
            <w:pPr>
              <w:jc w:val="center"/>
            </w:pPr>
            <w:r w:rsidRPr="00EB4B5A">
              <w:t>0.48 (0.38-0.6)</w:t>
            </w:r>
          </w:p>
        </w:tc>
        <w:tc>
          <w:tcPr>
            <w:tcW w:w="652" w:type="dxa"/>
          </w:tcPr>
          <w:p w14:paraId="503B3759" w14:textId="77777777" w:rsidR="00EB4B5A" w:rsidRPr="00EB4B5A" w:rsidRDefault="00EB4B5A" w:rsidP="00EB4B5A">
            <w:pPr>
              <w:jc w:val="center"/>
            </w:pPr>
            <w:proofErr w:type="spellStart"/>
            <w:r w:rsidRPr="00EB4B5A">
              <w:t>ref</w:t>
            </w:r>
            <w:proofErr w:type="spellEnd"/>
          </w:p>
        </w:tc>
        <w:tc>
          <w:tcPr>
            <w:tcW w:w="665" w:type="dxa"/>
          </w:tcPr>
          <w:p w14:paraId="0AC724CE" w14:textId="77777777" w:rsidR="00EB4B5A" w:rsidRPr="00EB4B5A" w:rsidRDefault="00EB4B5A" w:rsidP="00EB4B5A">
            <w:pPr>
              <w:jc w:val="center"/>
            </w:pPr>
            <w:r w:rsidRPr="00EB4B5A">
              <w:t>0.85 (0.74-0.98)</w:t>
            </w:r>
          </w:p>
        </w:tc>
        <w:tc>
          <w:tcPr>
            <w:tcW w:w="955" w:type="dxa"/>
          </w:tcPr>
          <w:p w14:paraId="14DBB3A7" w14:textId="77777777" w:rsidR="00EB4B5A" w:rsidRPr="00EB4B5A" w:rsidRDefault="00EB4B5A" w:rsidP="00EB4B5A">
            <w:pPr>
              <w:jc w:val="center"/>
            </w:pPr>
            <w:r w:rsidRPr="00EB4B5A">
              <w:t>0.95 (0.7-1.28)</w:t>
            </w:r>
          </w:p>
        </w:tc>
      </w:tr>
      <w:tr w:rsidR="00EB4B5A" w:rsidRPr="00EB4B5A" w14:paraId="390CB6F2" w14:textId="77777777" w:rsidTr="00365C12">
        <w:trPr>
          <w:jc w:val="center"/>
        </w:trPr>
        <w:tc>
          <w:tcPr>
            <w:tcW w:w="1374" w:type="dxa"/>
          </w:tcPr>
          <w:p w14:paraId="32B8D23A" w14:textId="77777777" w:rsidR="00EB4B5A" w:rsidRPr="00EB4B5A" w:rsidRDefault="00EB4B5A" w:rsidP="00EB4B5A">
            <w:pPr>
              <w:spacing w:after="160" w:line="259" w:lineRule="auto"/>
              <w:jc w:val="center"/>
            </w:pPr>
          </w:p>
        </w:tc>
        <w:tc>
          <w:tcPr>
            <w:tcW w:w="1173" w:type="dxa"/>
          </w:tcPr>
          <w:p w14:paraId="7765BF41" w14:textId="77777777" w:rsidR="00EB4B5A" w:rsidRPr="00EB4B5A" w:rsidRDefault="00EB4B5A" w:rsidP="00EB4B5A">
            <w:pPr>
              <w:spacing w:after="160" w:line="259" w:lineRule="auto"/>
              <w:jc w:val="center"/>
            </w:pPr>
            <w:proofErr w:type="spellStart"/>
            <w:r w:rsidRPr="00EB4B5A">
              <w:t>Moscow</w:t>
            </w:r>
            <w:proofErr w:type="spellEnd"/>
            <w:r w:rsidRPr="00EB4B5A">
              <w:t xml:space="preserve"> </w:t>
            </w:r>
            <w:proofErr w:type="spellStart"/>
            <w:r w:rsidRPr="00EB4B5A">
              <w:t>Region</w:t>
            </w:r>
            <w:proofErr w:type="spellEnd"/>
            <w:r w:rsidRPr="00EB4B5A">
              <w:t xml:space="preserve"> (RUS)</w:t>
            </w:r>
          </w:p>
        </w:tc>
        <w:tc>
          <w:tcPr>
            <w:tcW w:w="653" w:type="dxa"/>
          </w:tcPr>
          <w:p w14:paraId="156705B2"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2C52327D" w14:textId="77777777" w:rsidR="00EB4B5A" w:rsidRPr="00EB4B5A" w:rsidRDefault="00EB4B5A" w:rsidP="00EB4B5A">
            <w:pPr>
              <w:jc w:val="center"/>
            </w:pPr>
            <w:r w:rsidRPr="00EB4B5A">
              <w:t>0.71 (0.63-0.8)</w:t>
            </w:r>
          </w:p>
        </w:tc>
        <w:tc>
          <w:tcPr>
            <w:tcW w:w="665" w:type="dxa"/>
          </w:tcPr>
          <w:p w14:paraId="6867C16C" w14:textId="77777777" w:rsidR="00EB4B5A" w:rsidRPr="00EB4B5A" w:rsidRDefault="00EB4B5A" w:rsidP="00EB4B5A">
            <w:pPr>
              <w:jc w:val="center"/>
            </w:pPr>
            <w:r w:rsidRPr="00EB4B5A">
              <w:t>0.45 (0.36-0.57)</w:t>
            </w:r>
          </w:p>
        </w:tc>
        <w:tc>
          <w:tcPr>
            <w:tcW w:w="652" w:type="dxa"/>
          </w:tcPr>
          <w:p w14:paraId="6F74282B" w14:textId="77777777" w:rsidR="00EB4B5A" w:rsidRPr="00EB4B5A" w:rsidRDefault="00EB4B5A" w:rsidP="00EB4B5A">
            <w:pPr>
              <w:jc w:val="center"/>
            </w:pPr>
            <w:proofErr w:type="spellStart"/>
            <w:r w:rsidRPr="00EB4B5A">
              <w:t>ref</w:t>
            </w:r>
            <w:proofErr w:type="spellEnd"/>
          </w:p>
        </w:tc>
        <w:tc>
          <w:tcPr>
            <w:tcW w:w="665" w:type="dxa"/>
          </w:tcPr>
          <w:p w14:paraId="5635F4F4" w14:textId="77777777" w:rsidR="00EB4B5A" w:rsidRPr="00EB4B5A" w:rsidRDefault="00EB4B5A" w:rsidP="00EB4B5A">
            <w:pPr>
              <w:jc w:val="center"/>
            </w:pPr>
            <w:r w:rsidRPr="00EB4B5A">
              <w:t>0.54 (0.42-0.7)</w:t>
            </w:r>
          </w:p>
        </w:tc>
        <w:tc>
          <w:tcPr>
            <w:tcW w:w="665" w:type="dxa"/>
          </w:tcPr>
          <w:p w14:paraId="6F030DE1" w14:textId="77777777" w:rsidR="00EB4B5A" w:rsidRPr="00EB4B5A" w:rsidRDefault="00EB4B5A" w:rsidP="00EB4B5A">
            <w:pPr>
              <w:jc w:val="center"/>
            </w:pPr>
            <w:r w:rsidRPr="00EB4B5A">
              <w:t>0.34 (0.23-0.52)</w:t>
            </w:r>
          </w:p>
        </w:tc>
        <w:tc>
          <w:tcPr>
            <w:tcW w:w="652" w:type="dxa"/>
          </w:tcPr>
          <w:p w14:paraId="63385763" w14:textId="77777777" w:rsidR="00EB4B5A" w:rsidRPr="00EB4B5A" w:rsidRDefault="00EB4B5A" w:rsidP="00EB4B5A">
            <w:pPr>
              <w:jc w:val="center"/>
            </w:pPr>
            <w:proofErr w:type="spellStart"/>
            <w:r w:rsidRPr="00EB4B5A">
              <w:t>ref</w:t>
            </w:r>
            <w:proofErr w:type="spellEnd"/>
          </w:p>
        </w:tc>
        <w:tc>
          <w:tcPr>
            <w:tcW w:w="665" w:type="dxa"/>
          </w:tcPr>
          <w:p w14:paraId="037D6B7A" w14:textId="77777777" w:rsidR="00EB4B5A" w:rsidRPr="00EB4B5A" w:rsidRDefault="00EB4B5A" w:rsidP="00EB4B5A">
            <w:pPr>
              <w:jc w:val="center"/>
            </w:pPr>
            <w:r w:rsidRPr="00EB4B5A">
              <w:t>0.75 (0.6-0.94)</w:t>
            </w:r>
          </w:p>
        </w:tc>
        <w:tc>
          <w:tcPr>
            <w:tcW w:w="955" w:type="dxa"/>
          </w:tcPr>
          <w:p w14:paraId="7D90DA1E" w14:textId="77777777" w:rsidR="00EB4B5A" w:rsidRPr="00EB4B5A" w:rsidRDefault="00EB4B5A" w:rsidP="00EB4B5A">
            <w:pPr>
              <w:jc w:val="center"/>
            </w:pPr>
            <w:r w:rsidRPr="00EB4B5A">
              <w:t>1 (0.69-1.46)</w:t>
            </w:r>
          </w:p>
        </w:tc>
      </w:tr>
      <w:tr w:rsidR="00EB4B5A" w:rsidRPr="00EB4B5A" w14:paraId="13115645" w14:textId="77777777" w:rsidTr="00365C12">
        <w:trPr>
          <w:jc w:val="center"/>
        </w:trPr>
        <w:tc>
          <w:tcPr>
            <w:tcW w:w="1374" w:type="dxa"/>
          </w:tcPr>
          <w:p w14:paraId="37D33A1B" w14:textId="77777777" w:rsidR="00EB4B5A" w:rsidRPr="00EB4B5A" w:rsidRDefault="00EB4B5A" w:rsidP="00EB4B5A">
            <w:pPr>
              <w:spacing w:after="160" w:line="259" w:lineRule="auto"/>
              <w:jc w:val="center"/>
            </w:pPr>
          </w:p>
        </w:tc>
        <w:tc>
          <w:tcPr>
            <w:tcW w:w="1173" w:type="dxa"/>
          </w:tcPr>
          <w:p w14:paraId="3D68EFA1" w14:textId="77777777" w:rsidR="00EB4B5A" w:rsidRPr="00EB4B5A" w:rsidRDefault="00EB4B5A" w:rsidP="00EB4B5A">
            <w:pPr>
              <w:spacing w:after="160" w:line="259" w:lineRule="auto"/>
              <w:jc w:val="center"/>
            </w:pPr>
            <w:proofErr w:type="spellStart"/>
            <w:r w:rsidRPr="00EB4B5A">
              <w:t>Tatarstan</w:t>
            </w:r>
            <w:proofErr w:type="spellEnd"/>
            <w:r w:rsidRPr="00EB4B5A">
              <w:t xml:space="preserve"> (RUS)</w:t>
            </w:r>
          </w:p>
        </w:tc>
        <w:tc>
          <w:tcPr>
            <w:tcW w:w="653" w:type="dxa"/>
          </w:tcPr>
          <w:p w14:paraId="7DBDDAD0"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778049E8" w14:textId="77777777" w:rsidR="00EB4B5A" w:rsidRPr="00EB4B5A" w:rsidRDefault="00EB4B5A" w:rsidP="00EB4B5A">
            <w:pPr>
              <w:jc w:val="center"/>
            </w:pPr>
            <w:r w:rsidRPr="00EB4B5A">
              <w:t>0.73 (0.64-0.83)</w:t>
            </w:r>
          </w:p>
        </w:tc>
        <w:tc>
          <w:tcPr>
            <w:tcW w:w="665" w:type="dxa"/>
          </w:tcPr>
          <w:p w14:paraId="0FA03C4D" w14:textId="77777777" w:rsidR="00EB4B5A" w:rsidRPr="00EB4B5A" w:rsidRDefault="00EB4B5A" w:rsidP="00EB4B5A">
            <w:pPr>
              <w:jc w:val="center"/>
            </w:pPr>
            <w:r w:rsidRPr="00EB4B5A">
              <w:t>0.62 (0.51-0.76)</w:t>
            </w:r>
          </w:p>
        </w:tc>
        <w:tc>
          <w:tcPr>
            <w:tcW w:w="652" w:type="dxa"/>
          </w:tcPr>
          <w:p w14:paraId="1136028F" w14:textId="77777777" w:rsidR="00EB4B5A" w:rsidRPr="00EB4B5A" w:rsidRDefault="00EB4B5A" w:rsidP="00EB4B5A">
            <w:pPr>
              <w:jc w:val="center"/>
            </w:pPr>
            <w:proofErr w:type="spellStart"/>
            <w:r w:rsidRPr="00EB4B5A">
              <w:t>ref</w:t>
            </w:r>
            <w:proofErr w:type="spellEnd"/>
          </w:p>
        </w:tc>
        <w:tc>
          <w:tcPr>
            <w:tcW w:w="665" w:type="dxa"/>
          </w:tcPr>
          <w:p w14:paraId="600CDE58" w14:textId="77777777" w:rsidR="00EB4B5A" w:rsidRPr="00EB4B5A" w:rsidRDefault="00EB4B5A" w:rsidP="00EB4B5A">
            <w:pPr>
              <w:jc w:val="center"/>
            </w:pPr>
            <w:r w:rsidRPr="00EB4B5A">
              <w:t>0.8 (0.7-0.92)</w:t>
            </w:r>
          </w:p>
        </w:tc>
        <w:tc>
          <w:tcPr>
            <w:tcW w:w="665" w:type="dxa"/>
          </w:tcPr>
          <w:p w14:paraId="68BAD139" w14:textId="77777777" w:rsidR="00EB4B5A" w:rsidRPr="00EB4B5A" w:rsidRDefault="00EB4B5A" w:rsidP="00EB4B5A">
            <w:pPr>
              <w:jc w:val="center"/>
            </w:pPr>
            <w:r w:rsidRPr="00EB4B5A">
              <w:t>0.54 (0.43-0.67)</w:t>
            </w:r>
          </w:p>
        </w:tc>
        <w:tc>
          <w:tcPr>
            <w:tcW w:w="652" w:type="dxa"/>
          </w:tcPr>
          <w:p w14:paraId="61F97031" w14:textId="77777777" w:rsidR="00EB4B5A" w:rsidRPr="00EB4B5A" w:rsidRDefault="00EB4B5A" w:rsidP="00EB4B5A">
            <w:pPr>
              <w:jc w:val="center"/>
            </w:pPr>
            <w:proofErr w:type="spellStart"/>
            <w:r w:rsidRPr="00EB4B5A">
              <w:t>ref</w:t>
            </w:r>
            <w:proofErr w:type="spellEnd"/>
          </w:p>
        </w:tc>
        <w:tc>
          <w:tcPr>
            <w:tcW w:w="665" w:type="dxa"/>
          </w:tcPr>
          <w:p w14:paraId="3951E4A3" w14:textId="77777777" w:rsidR="00EB4B5A" w:rsidRPr="00EB4B5A" w:rsidRDefault="00EB4B5A" w:rsidP="00EB4B5A">
            <w:pPr>
              <w:jc w:val="center"/>
            </w:pPr>
            <w:r w:rsidRPr="00EB4B5A">
              <w:t>0.92 (0.8-1.04)</w:t>
            </w:r>
          </w:p>
        </w:tc>
        <w:tc>
          <w:tcPr>
            <w:tcW w:w="955" w:type="dxa"/>
          </w:tcPr>
          <w:p w14:paraId="15BD1D14" w14:textId="77777777" w:rsidR="00EB4B5A" w:rsidRPr="00EB4B5A" w:rsidRDefault="00EB4B5A" w:rsidP="00EB4B5A">
            <w:pPr>
              <w:jc w:val="center"/>
            </w:pPr>
            <w:r w:rsidRPr="00EB4B5A">
              <w:t>1.09 (0.89-1.34)</w:t>
            </w:r>
          </w:p>
        </w:tc>
      </w:tr>
      <w:tr w:rsidR="00EB4B5A" w:rsidRPr="00EB4B5A" w14:paraId="079D5B98" w14:textId="77777777" w:rsidTr="00365C12">
        <w:trPr>
          <w:jc w:val="center"/>
        </w:trPr>
        <w:tc>
          <w:tcPr>
            <w:tcW w:w="1374" w:type="dxa"/>
          </w:tcPr>
          <w:p w14:paraId="1B274BEB" w14:textId="77777777" w:rsidR="00EB4B5A" w:rsidRPr="00EB4B5A" w:rsidRDefault="00EB4B5A" w:rsidP="00EB4B5A">
            <w:pPr>
              <w:spacing w:after="160" w:line="259" w:lineRule="auto"/>
              <w:jc w:val="center"/>
              <w:rPr>
                <w:lang w:val="en-GB"/>
              </w:rPr>
            </w:pPr>
            <w:r w:rsidRPr="00EB4B5A">
              <w:rPr>
                <w:lang w:val="en-GB"/>
              </w:rPr>
              <w:t>South-East Asian &amp; Western Pacific</w:t>
            </w:r>
          </w:p>
        </w:tc>
        <w:tc>
          <w:tcPr>
            <w:tcW w:w="1173" w:type="dxa"/>
          </w:tcPr>
          <w:p w14:paraId="4D982859" w14:textId="77777777" w:rsidR="00EB4B5A" w:rsidRPr="00EB4B5A" w:rsidRDefault="00EB4B5A" w:rsidP="00EB4B5A">
            <w:pPr>
              <w:spacing w:after="160" w:line="259" w:lineRule="auto"/>
              <w:jc w:val="center"/>
            </w:pPr>
            <w:r w:rsidRPr="00EB4B5A">
              <w:t>Australia</w:t>
            </w:r>
          </w:p>
        </w:tc>
        <w:tc>
          <w:tcPr>
            <w:tcW w:w="653" w:type="dxa"/>
          </w:tcPr>
          <w:p w14:paraId="6150BE17"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71995770" w14:textId="77777777" w:rsidR="00EB4B5A" w:rsidRPr="00EB4B5A" w:rsidRDefault="00EB4B5A" w:rsidP="00EB4B5A">
            <w:pPr>
              <w:jc w:val="center"/>
            </w:pPr>
            <w:r w:rsidRPr="00EB4B5A">
              <w:t>0.72 (0.65-0.8)</w:t>
            </w:r>
          </w:p>
        </w:tc>
        <w:tc>
          <w:tcPr>
            <w:tcW w:w="665" w:type="dxa"/>
          </w:tcPr>
          <w:p w14:paraId="22BC50C9" w14:textId="77777777" w:rsidR="00EB4B5A" w:rsidRPr="00EB4B5A" w:rsidRDefault="00EB4B5A" w:rsidP="00EB4B5A">
            <w:pPr>
              <w:jc w:val="center"/>
            </w:pPr>
            <w:r w:rsidRPr="00EB4B5A">
              <w:t>0.49 (0.41-0.59)</w:t>
            </w:r>
          </w:p>
        </w:tc>
        <w:tc>
          <w:tcPr>
            <w:tcW w:w="652" w:type="dxa"/>
          </w:tcPr>
          <w:p w14:paraId="2D73F47B" w14:textId="77777777" w:rsidR="00EB4B5A" w:rsidRPr="00EB4B5A" w:rsidRDefault="00EB4B5A" w:rsidP="00EB4B5A">
            <w:pPr>
              <w:jc w:val="center"/>
            </w:pPr>
            <w:proofErr w:type="spellStart"/>
            <w:r w:rsidRPr="00EB4B5A">
              <w:t>ref</w:t>
            </w:r>
            <w:proofErr w:type="spellEnd"/>
          </w:p>
        </w:tc>
        <w:tc>
          <w:tcPr>
            <w:tcW w:w="665" w:type="dxa"/>
          </w:tcPr>
          <w:p w14:paraId="5476D4C5" w14:textId="77777777" w:rsidR="00EB4B5A" w:rsidRPr="00EB4B5A" w:rsidRDefault="00EB4B5A" w:rsidP="00EB4B5A">
            <w:pPr>
              <w:jc w:val="center"/>
            </w:pPr>
            <w:r w:rsidRPr="00EB4B5A">
              <w:t>0.7 (0.63-0.78)</w:t>
            </w:r>
          </w:p>
        </w:tc>
        <w:tc>
          <w:tcPr>
            <w:tcW w:w="665" w:type="dxa"/>
          </w:tcPr>
          <w:p w14:paraId="6DCD6B58" w14:textId="77777777" w:rsidR="00EB4B5A" w:rsidRPr="00EB4B5A" w:rsidRDefault="00EB4B5A" w:rsidP="00EB4B5A">
            <w:pPr>
              <w:jc w:val="center"/>
            </w:pPr>
            <w:r w:rsidRPr="00EB4B5A">
              <w:t>0.43 (0.36-0.51)</w:t>
            </w:r>
          </w:p>
        </w:tc>
        <w:tc>
          <w:tcPr>
            <w:tcW w:w="652" w:type="dxa"/>
          </w:tcPr>
          <w:p w14:paraId="7C9C10BE" w14:textId="77777777" w:rsidR="00EB4B5A" w:rsidRPr="00EB4B5A" w:rsidRDefault="00EB4B5A" w:rsidP="00EB4B5A">
            <w:pPr>
              <w:jc w:val="center"/>
            </w:pPr>
            <w:proofErr w:type="spellStart"/>
            <w:r w:rsidRPr="00EB4B5A">
              <w:t>ref</w:t>
            </w:r>
            <w:proofErr w:type="spellEnd"/>
          </w:p>
        </w:tc>
        <w:tc>
          <w:tcPr>
            <w:tcW w:w="665" w:type="dxa"/>
          </w:tcPr>
          <w:p w14:paraId="0A3B39F2" w14:textId="77777777" w:rsidR="00EB4B5A" w:rsidRPr="00EB4B5A" w:rsidRDefault="00EB4B5A" w:rsidP="00EB4B5A">
            <w:pPr>
              <w:jc w:val="center"/>
            </w:pPr>
            <w:r w:rsidRPr="00EB4B5A">
              <w:t>0.81 (0.74-0.88)</w:t>
            </w:r>
          </w:p>
        </w:tc>
        <w:tc>
          <w:tcPr>
            <w:tcW w:w="955" w:type="dxa"/>
          </w:tcPr>
          <w:p w14:paraId="1D2AA234" w14:textId="77777777" w:rsidR="00EB4B5A" w:rsidRPr="00EB4B5A" w:rsidRDefault="00EB4B5A" w:rsidP="00EB4B5A">
            <w:pPr>
              <w:jc w:val="center"/>
            </w:pPr>
            <w:r w:rsidRPr="00EB4B5A">
              <w:t>0.68 (0.57-0.82)</w:t>
            </w:r>
          </w:p>
        </w:tc>
      </w:tr>
      <w:tr w:rsidR="00EB4B5A" w:rsidRPr="00EB4B5A" w14:paraId="5D8FE0B8" w14:textId="77777777" w:rsidTr="00365C12">
        <w:trPr>
          <w:jc w:val="center"/>
        </w:trPr>
        <w:tc>
          <w:tcPr>
            <w:tcW w:w="1374" w:type="dxa"/>
          </w:tcPr>
          <w:p w14:paraId="3ACF7A43" w14:textId="77777777" w:rsidR="00EB4B5A" w:rsidRPr="00EB4B5A" w:rsidRDefault="00EB4B5A" w:rsidP="00EB4B5A">
            <w:pPr>
              <w:spacing w:after="160" w:line="259" w:lineRule="auto"/>
              <w:jc w:val="center"/>
            </w:pPr>
          </w:p>
        </w:tc>
        <w:tc>
          <w:tcPr>
            <w:tcW w:w="1173" w:type="dxa"/>
          </w:tcPr>
          <w:p w14:paraId="44921DFA" w14:textId="77777777" w:rsidR="00EB4B5A" w:rsidRPr="00EB4B5A" w:rsidRDefault="00EB4B5A" w:rsidP="00EB4B5A">
            <w:pPr>
              <w:spacing w:after="160" w:line="259" w:lineRule="auto"/>
              <w:jc w:val="center"/>
            </w:pPr>
            <w:proofErr w:type="spellStart"/>
            <w:r w:rsidRPr="00EB4B5A">
              <w:t>Brunei</w:t>
            </w:r>
            <w:proofErr w:type="spellEnd"/>
            <w:r w:rsidRPr="00EB4B5A">
              <w:t xml:space="preserve"> Darussalam</w:t>
            </w:r>
          </w:p>
        </w:tc>
        <w:tc>
          <w:tcPr>
            <w:tcW w:w="653" w:type="dxa"/>
          </w:tcPr>
          <w:p w14:paraId="3494DE28"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4E1B724E" w14:textId="77777777" w:rsidR="00EB4B5A" w:rsidRPr="00EB4B5A" w:rsidRDefault="00EB4B5A" w:rsidP="00EB4B5A">
            <w:pPr>
              <w:jc w:val="center"/>
            </w:pPr>
            <w:r w:rsidRPr="00EB4B5A">
              <w:t>0.82 (0.71-0.95)</w:t>
            </w:r>
          </w:p>
        </w:tc>
        <w:tc>
          <w:tcPr>
            <w:tcW w:w="665" w:type="dxa"/>
          </w:tcPr>
          <w:p w14:paraId="0DFD0902" w14:textId="77777777" w:rsidR="00EB4B5A" w:rsidRPr="00EB4B5A" w:rsidRDefault="00EB4B5A" w:rsidP="00EB4B5A">
            <w:pPr>
              <w:jc w:val="center"/>
            </w:pPr>
            <w:r w:rsidRPr="00EB4B5A">
              <w:t>0.53 (0.45-0.62)</w:t>
            </w:r>
          </w:p>
        </w:tc>
        <w:tc>
          <w:tcPr>
            <w:tcW w:w="652" w:type="dxa"/>
          </w:tcPr>
          <w:p w14:paraId="3F4F5011" w14:textId="77777777" w:rsidR="00EB4B5A" w:rsidRPr="00EB4B5A" w:rsidRDefault="00EB4B5A" w:rsidP="00EB4B5A">
            <w:pPr>
              <w:jc w:val="center"/>
            </w:pPr>
            <w:proofErr w:type="spellStart"/>
            <w:r w:rsidRPr="00EB4B5A">
              <w:t>ref</w:t>
            </w:r>
            <w:proofErr w:type="spellEnd"/>
          </w:p>
        </w:tc>
        <w:tc>
          <w:tcPr>
            <w:tcW w:w="665" w:type="dxa"/>
          </w:tcPr>
          <w:p w14:paraId="60BF7ACF" w14:textId="77777777" w:rsidR="00EB4B5A" w:rsidRPr="00EB4B5A" w:rsidRDefault="00EB4B5A" w:rsidP="00EB4B5A">
            <w:pPr>
              <w:jc w:val="center"/>
            </w:pPr>
            <w:r w:rsidRPr="00EB4B5A">
              <w:t>0.75 (0.64-0.87)</w:t>
            </w:r>
          </w:p>
        </w:tc>
        <w:tc>
          <w:tcPr>
            <w:tcW w:w="665" w:type="dxa"/>
          </w:tcPr>
          <w:p w14:paraId="2CD740D9" w14:textId="77777777" w:rsidR="00EB4B5A" w:rsidRPr="00EB4B5A" w:rsidRDefault="00EB4B5A" w:rsidP="00EB4B5A">
            <w:pPr>
              <w:jc w:val="center"/>
            </w:pPr>
            <w:r w:rsidRPr="00EB4B5A">
              <w:t>0.47 (0.39-0.56)</w:t>
            </w:r>
          </w:p>
        </w:tc>
        <w:tc>
          <w:tcPr>
            <w:tcW w:w="652" w:type="dxa"/>
          </w:tcPr>
          <w:p w14:paraId="58DFA304" w14:textId="77777777" w:rsidR="00EB4B5A" w:rsidRPr="00EB4B5A" w:rsidRDefault="00EB4B5A" w:rsidP="00EB4B5A">
            <w:pPr>
              <w:jc w:val="center"/>
            </w:pPr>
            <w:proofErr w:type="spellStart"/>
            <w:r w:rsidRPr="00EB4B5A">
              <w:t>ref</w:t>
            </w:r>
            <w:proofErr w:type="spellEnd"/>
          </w:p>
        </w:tc>
        <w:tc>
          <w:tcPr>
            <w:tcW w:w="665" w:type="dxa"/>
          </w:tcPr>
          <w:p w14:paraId="167DB6A8" w14:textId="77777777" w:rsidR="00EB4B5A" w:rsidRPr="00EB4B5A" w:rsidRDefault="00EB4B5A" w:rsidP="00EB4B5A">
            <w:pPr>
              <w:jc w:val="center"/>
            </w:pPr>
            <w:r w:rsidRPr="00EB4B5A">
              <w:t>0.86 (0.62-1.19)</w:t>
            </w:r>
          </w:p>
        </w:tc>
        <w:tc>
          <w:tcPr>
            <w:tcW w:w="955" w:type="dxa"/>
          </w:tcPr>
          <w:p w14:paraId="6FD51B94" w14:textId="77777777" w:rsidR="00EB4B5A" w:rsidRPr="00EB4B5A" w:rsidRDefault="00EB4B5A" w:rsidP="00EB4B5A">
            <w:pPr>
              <w:jc w:val="center"/>
            </w:pPr>
            <w:r w:rsidRPr="00EB4B5A">
              <w:t>1.06 (0.7-1.59)</w:t>
            </w:r>
          </w:p>
        </w:tc>
      </w:tr>
      <w:tr w:rsidR="00EB4B5A" w:rsidRPr="00EB4B5A" w14:paraId="1BBAE15C" w14:textId="77777777" w:rsidTr="00365C12">
        <w:trPr>
          <w:jc w:val="center"/>
        </w:trPr>
        <w:tc>
          <w:tcPr>
            <w:tcW w:w="1374" w:type="dxa"/>
          </w:tcPr>
          <w:p w14:paraId="73ACD8AB" w14:textId="77777777" w:rsidR="00EB4B5A" w:rsidRPr="00EB4B5A" w:rsidRDefault="00EB4B5A" w:rsidP="00EB4B5A">
            <w:pPr>
              <w:spacing w:after="160" w:line="259" w:lineRule="auto"/>
              <w:jc w:val="center"/>
            </w:pPr>
          </w:p>
        </w:tc>
        <w:tc>
          <w:tcPr>
            <w:tcW w:w="1173" w:type="dxa"/>
          </w:tcPr>
          <w:p w14:paraId="4901128E" w14:textId="77777777" w:rsidR="00EB4B5A" w:rsidRPr="00EB4B5A" w:rsidRDefault="00EB4B5A" w:rsidP="00EB4B5A">
            <w:pPr>
              <w:spacing w:after="160" w:line="259" w:lineRule="auto"/>
              <w:jc w:val="center"/>
            </w:pPr>
            <w:proofErr w:type="spellStart"/>
            <w:r w:rsidRPr="00EB4B5A">
              <w:t>Chinese</w:t>
            </w:r>
            <w:proofErr w:type="spellEnd"/>
            <w:r w:rsidRPr="00EB4B5A">
              <w:t xml:space="preserve"> </w:t>
            </w:r>
            <w:proofErr w:type="spellStart"/>
            <w:r w:rsidRPr="00EB4B5A">
              <w:t>Taipei</w:t>
            </w:r>
            <w:proofErr w:type="spellEnd"/>
          </w:p>
        </w:tc>
        <w:tc>
          <w:tcPr>
            <w:tcW w:w="653" w:type="dxa"/>
          </w:tcPr>
          <w:p w14:paraId="4931A3EF"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106AD335" w14:textId="77777777" w:rsidR="00EB4B5A" w:rsidRPr="00EB4B5A" w:rsidRDefault="00EB4B5A" w:rsidP="00EB4B5A">
            <w:pPr>
              <w:jc w:val="center"/>
            </w:pPr>
            <w:r w:rsidRPr="00EB4B5A">
              <w:t>0.93 (0.84-1.03)</w:t>
            </w:r>
          </w:p>
        </w:tc>
        <w:tc>
          <w:tcPr>
            <w:tcW w:w="665" w:type="dxa"/>
          </w:tcPr>
          <w:p w14:paraId="6D354163" w14:textId="77777777" w:rsidR="00EB4B5A" w:rsidRPr="00EB4B5A" w:rsidRDefault="00EB4B5A" w:rsidP="00EB4B5A">
            <w:pPr>
              <w:jc w:val="center"/>
            </w:pPr>
            <w:r w:rsidRPr="00EB4B5A">
              <w:t>0.76 (0.63-0.92)</w:t>
            </w:r>
          </w:p>
        </w:tc>
        <w:tc>
          <w:tcPr>
            <w:tcW w:w="652" w:type="dxa"/>
          </w:tcPr>
          <w:p w14:paraId="2F1A6874" w14:textId="77777777" w:rsidR="00EB4B5A" w:rsidRPr="00EB4B5A" w:rsidRDefault="00EB4B5A" w:rsidP="00EB4B5A">
            <w:pPr>
              <w:jc w:val="center"/>
            </w:pPr>
            <w:proofErr w:type="spellStart"/>
            <w:r w:rsidRPr="00EB4B5A">
              <w:t>ref</w:t>
            </w:r>
            <w:proofErr w:type="spellEnd"/>
          </w:p>
        </w:tc>
        <w:tc>
          <w:tcPr>
            <w:tcW w:w="665" w:type="dxa"/>
          </w:tcPr>
          <w:p w14:paraId="2325FCCA" w14:textId="77777777" w:rsidR="00EB4B5A" w:rsidRPr="00EB4B5A" w:rsidRDefault="00EB4B5A" w:rsidP="00EB4B5A">
            <w:pPr>
              <w:jc w:val="center"/>
            </w:pPr>
            <w:r w:rsidRPr="00EB4B5A">
              <w:t>0.85 (0.75-0.96)</w:t>
            </w:r>
          </w:p>
        </w:tc>
        <w:tc>
          <w:tcPr>
            <w:tcW w:w="665" w:type="dxa"/>
          </w:tcPr>
          <w:p w14:paraId="035F9246" w14:textId="77777777" w:rsidR="00EB4B5A" w:rsidRPr="00EB4B5A" w:rsidRDefault="00EB4B5A" w:rsidP="00EB4B5A">
            <w:pPr>
              <w:jc w:val="center"/>
            </w:pPr>
            <w:r w:rsidRPr="00EB4B5A">
              <w:t>0.52 (0.42-0.64)</w:t>
            </w:r>
          </w:p>
        </w:tc>
        <w:tc>
          <w:tcPr>
            <w:tcW w:w="652" w:type="dxa"/>
          </w:tcPr>
          <w:p w14:paraId="047B4673" w14:textId="77777777" w:rsidR="00EB4B5A" w:rsidRPr="00EB4B5A" w:rsidRDefault="00EB4B5A" w:rsidP="00EB4B5A">
            <w:pPr>
              <w:jc w:val="center"/>
            </w:pPr>
            <w:proofErr w:type="spellStart"/>
            <w:r w:rsidRPr="00EB4B5A">
              <w:t>ref</w:t>
            </w:r>
            <w:proofErr w:type="spellEnd"/>
          </w:p>
        </w:tc>
        <w:tc>
          <w:tcPr>
            <w:tcW w:w="665" w:type="dxa"/>
          </w:tcPr>
          <w:p w14:paraId="084A540A" w14:textId="77777777" w:rsidR="00EB4B5A" w:rsidRPr="00EB4B5A" w:rsidRDefault="00EB4B5A" w:rsidP="00EB4B5A">
            <w:pPr>
              <w:jc w:val="center"/>
            </w:pPr>
            <w:r w:rsidRPr="00EB4B5A">
              <w:t>1.04 (0.91-1.18)</w:t>
            </w:r>
          </w:p>
        </w:tc>
        <w:tc>
          <w:tcPr>
            <w:tcW w:w="955" w:type="dxa"/>
          </w:tcPr>
          <w:p w14:paraId="2686C832" w14:textId="77777777" w:rsidR="00EB4B5A" w:rsidRPr="00EB4B5A" w:rsidRDefault="00EB4B5A" w:rsidP="00EB4B5A">
            <w:pPr>
              <w:jc w:val="center"/>
            </w:pPr>
            <w:r w:rsidRPr="00EB4B5A">
              <w:t>1.35 (1.12-1.64)</w:t>
            </w:r>
          </w:p>
        </w:tc>
      </w:tr>
      <w:tr w:rsidR="00EB4B5A" w:rsidRPr="00EB4B5A" w14:paraId="18768539" w14:textId="77777777" w:rsidTr="00365C12">
        <w:trPr>
          <w:jc w:val="center"/>
        </w:trPr>
        <w:tc>
          <w:tcPr>
            <w:tcW w:w="1374" w:type="dxa"/>
          </w:tcPr>
          <w:p w14:paraId="6B644CED" w14:textId="77777777" w:rsidR="00EB4B5A" w:rsidRPr="00EB4B5A" w:rsidRDefault="00EB4B5A" w:rsidP="00EB4B5A">
            <w:pPr>
              <w:spacing w:after="160" w:line="259" w:lineRule="auto"/>
              <w:jc w:val="center"/>
            </w:pPr>
          </w:p>
        </w:tc>
        <w:tc>
          <w:tcPr>
            <w:tcW w:w="1173" w:type="dxa"/>
          </w:tcPr>
          <w:p w14:paraId="01E81D62" w14:textId="77777777" w:rsidR="00EB4B5A" w:rsidRPr="00EB4B5A" w:rsidRDefault="00EB4B5A" w:rsidP="00EB4B5A">
            <w:pPr>
              <w:spacing w:after="160" w:line="259" w:lineRule="auto"/>
              <w:jc w:val="center"/>
            </w:pPr>
            <w:r w:rsidRPr="00EB4B5A">
              <w:t>Hong Kong</w:t>
            </w:r>
          </w:p>
        </w:tc>
        <w:tc>
          <w:tcPr>
            <w:tcW w:w="653" w:type="dxa"/>
          </w:tcPr>
          <w:p w14:paraId="40BBE0B0"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02A7A09A" w14:textId="77777777" w:rsidR="00EB4B5A" w:rsidRPr="00EB4B5A" w:rsidRDefault="00EB4B5A" w:rsidP="00EB4B5A">
            <w:pPr>
              <w:jc w:val="center"/>
            </w:pPr>
            <w:r w:rsidRPr="00EB4B5A">
              <w:t>0.78 (0.68-0.9)</w:t>
            </w:r>
          </w:p>
        </w:tc>
        <w:tc>
          <w:tcPr>
            <w:tcW w:w="665" w:type="dxa"/>
          </w:tcPr>
          <w:p w14:paraId="73C8E432" w14:textId="77777777" w:rsidR="00EB4B5A" w:rsidRPr="00EB4B5A" w:rsidRDefault="00EB4B5A" w:rsidP="00EB4B5A">
            <w:pPr>
              <w:jc w:val="center"/>
            </w:pPr>
            <w:r w:rsidRPr="00EB4B5A">
              <w:t>0.48 (0.34-0.68)</w:t>
            </w:r>
          </w:p>
        </w:tc>
        <w:tc>
          <w:tcPr>
            <w:tcW w:w="652" w:type="dxa"/>
          </w:tcPr>
          <w:p w14:paraId="7CE75177" w14:textId="77777777" w:rsidR="00EB4B5A" w:rsidRPr="00EB4B5A" w:rsidRDefault="00EB4B5A" w:rsidP="00EB4B5A">
            <w:pPr>
              <w:jc w:val="center"/>
            </w:pPr>
            <w:proofErr w:type="spellStart"/>
            <w:r w:rsidRPr="00EB4B5A">
              <w:t>ref</w:t>
            </w:r>
            <w:proofErr w:type="spellEnd"/>
          </w:p>
        </w:tc>
        <w:tc>
          <w:tcPr>
            <w:tcW w:w="665" w:type="dxa"/>
          </w:tcPr>
          <w:p w14:paraId="512D4A60" w14:textId="77777777" w:rsidR="00EB4B5A" w:rsidRPr="00EB4B5A" w:rsidRDefault="00EB4B5A" w:rsidP="00EB4B5A">
            <w:pPr>
              <w:jc w:val="center"/>
            </w:pPr>
            <w:r w:rsidRPr="00EB4B5A">
              <w:t>0.75 (0.66-0.87)</w:t>
            </w:r>
          </w:p>
        </w:tc>
        <w:tc>
          <w:tcPr>
            <w:tcW w:w="665" w:type="dxa"/>
          </w:tcPr>
          <w:p w14:paraId="518B205D" w14:textId="77777777" w:rsidR="00EB4B5A" w:rsidRPr="00EB4B5A" w:rsidRDefault="00EB4B5A" w:rsidP="00EB4B5A">
            <w:pPr>
              <w:jc w:val="center"/>
            </w:pPr>
            <w:r w:rsidRPr="00EB4B5A">
              <w:t>0.55 (0.38-0.82)</w:t>
            </w:r>
          </w:p>
        </w:tc>
        <w:tc>
          <w:tcPr>
            <w:tcW w:w="652" w:type="dxa"/>
          </w:tcPr>
          <w:p w14:paraId="6165614E" w14:textId="77777777" w:rsidR="00EB4B5A" w:rsidRPr="00EB4B5A" w:rsidRDefault="00EB4B5A" w:rsidP="00EB4B5A">
            <w:pPr>
              <w:jc w:val="center"/>
            </w:pPr>
            <w:proofErr w:type="spellStart"/>
            <w:r w:rsidRPr="00EB4B5A">
              <w:t>ref</w:t>
            </w:r>
            <w:proofErr w:type="spellEnd"/>
          </w:p>
        </w:tc>
        <w:tc>
          <w:tcPr>
            <w:tcW w:w="665" w:type="dxa"/>
          </w:tcPr>
          <w:p w14:paraId="0952DF28" w14:textId="77777777" w:rsidR="00EB4B5A" w:rsidRPr="00EB4B5A" w:rsidRDefault="00EB4B5A" w:rsidP="00EB4B5A">
            <w:pPr>
              <w:jc w:val="center"/>
            </w:pPr>
            <w:r w:rsidRPr="00EB4B5A">
              <w:t>1.32 (1.08-1.62)</w:t>
            </w:r>
          </w:p>
        </w:tc>
        <w:tc>
          <w:tcPr>
            <w:tcW w:w="955" w:type="dxa"/>
          </w:tcPr>
          <w:p w14:paraId="4B47B1A3" w14:textId="77777777" w:rsidR="00EB4B5A" w:rsidRPr="00EB4B5A" w:rsidRDefault="00EB4B5A" w:rsidP="00EB4B5A">
            <w:pPr>
              <w:jc w:val="center"/>
            </w:pPr>
            <w:r w:rsidRPr="00EB4B5A">
              <w:t>2.14 (1.31-3.49)</w:t>
            </w:r>
          </w:p>
        </w:tc>
      </w:tr>
      <w:tr w:rsidR="00EB4B5A" w:rsidRPr="00EB4B5A" w14:paraId="13AD6A46" w14:textId="77777777" w:rsidTr="00365C12">
        <w:trPr>
          <w:jc w:val="center"/>
        </w:trPr>
        <w:tc>
          <w:tcPr>
            <w:tcW w:w="1374" w:type="dxa"/>
          </w:tcPr>
          <w:p w14:paraId="15E1885E" w14:textId="77777777" w:rsidR="00EB4B5A" w:rsidRPr="00EB4B5A" w:rsidRDefault="00EB4B5A" w:rsidP="00EB4B5A">
            <w:pPr>
              <w:spacing w:after="160" w:line="259" w:lineRule="auto"/>
              <w:jc w:val="center"/>
            </w:pPr>
          </w:p>
        </w:tc>
        <w:tc>
          <w:tcPr>
            <w:tcW w:w="1173" w:type="dxa"/>
          </w:tcPr>
          <w:p w14:paraId="08393B85" w14:textId="77777777" w:rsidR="00EB4B5A" w:rsidRPr="00EB4B5A" w:rsidRDefault="00EB4B5A" w:rsidP="00EB4B5A">
            <w:pPr>
              <w:spacing w:after="160" w:line="259" w:lineRule="auto"/>
              <w:jc w:val="center"/>
            </w:pPr>
            <w:proofErr w:type="spellStart"/>
            <w:r w:rsidRPr="00EB4B5A">
              <w:t>Japan</w:t>
            </w:r>
            <w:proofErr w:type="spellEnd"/>
          </w:p>
        </w:tc>
        <w:tc>
          <w:tcPr>
            <w:tcW w:w="653" w:type="dxa"/>
          </w:tcPr>
          <w:p w14:paraId="16AD07BB"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070E3D12" w14:textId="77777777" w:rsidR="00EB4B5A" w:rsidRPr="00EB4B5A" w:rsidRDefault="00EB4B5A" w:rsidP="00EB4B5A">
            <w:pPr>
              <w:jc w:val="center"/>
            </w:pPr>
            <w:r w:rsidRPr="00EB4B5A">
              <w:t>0.74 (0.66-0.83)</w:t>
            </w:r>
          </w:p>
        </w:tc>
        <w:tc>
          <w:tcPr>
            <w:tcW w:w="665" w:type="dxa"/>
          </w:tcPr>
          <w:p w14:paraId="48498E7D" w14:textId="77777777" w:rsidR="00EB4B5A" w:rsidRPr="00EB4B5A" w:rsidRDefault="00EB4B5A" w:rsidP="00EB4B5A">
            <w:pPr>
              <w:jc w:val="center"/>
            </w:pPr>
            <w:r w:rsidRPr="00EB4B5A">
              <w:t>0.53 (0.44-0.64)</w:t>
            </w:r>
          </w:p>
        </w:tc>
        <w:tc>
          <w:tcPr>
            <w:tcW w:w="652" w:type="dxa"/>
          </w:tcPr>
          <w:p w14:paraId="48EC3F08" w14:textId="77777777" w:rsidR="00EB4B5A" w:rsidRPr="00EB4B5A" w:rsidRDefault="00EB4B5A" w:rsidP="00EB4B5A">
            <w:pPr>
              <w:jc w:val="center"/>
            </w:pPr>
            <w:proofErr w:type="spellStart"/>
            <w:r w:rsidRPr="00EB4B5A">
              <w:t>ref</w:t>
            </w:r>
            <w:proofErr w:type="spellEnd"/>
          </w:p>
        </w:tc>
        <w:tc>
          <w:tcPr>
            <w:tcW w:w="665" w:type="dxa"/>
          </w:tcPr>
          <w:p w14:paraId="2A3AE5C8" w14:textId="77777777" w:rsidR="00EB4B5A" w:rsidRPr="00EB4B5A" w:rsidRDefault="00EB4B5A" w:rsidP="00EB4B5A">
            <w:pPr>
              <w:jc w:val="center"/>
            </w:pPr>
            <w:r w:rsidRPr="00EB4B5A">
              <w:t>0.72 (0.63-0.83)</w:t>
            </w:r>
          </w:p>
        </w:tc>
        <w:tc>
          <w:tcPr>
            <w:tcW w:w="665" w:type="dxa"/>
          </w:tcPr>
          <w:p w14:paraId="308DF543" w14:textId="77777777" w:rsidR="00EB4B5A" w:rsidRPr="00EB4B5A" w:rsidRDefault="00EB4B5A" w:rsidP="00EB4B5A">
            <w:pPr>
              <w:jc w:val="center"/>
            </w:pPr>
            <w:r w:rsidRPr="00EB4B5A">
              <w:t>0.56 (0.45-0.69)</w:t>
            </w:r>
          </w:p>
        </w:tc>
        <w:tc>
          <w:tcPr>
            <w:tcW w:w="652" w:type="dxa"/>
          </w:tcPr>
          <w:p w14:paraId="5106C961" w14:textId="77777777" w:rsidR="00EB4B5A" w:rsidRPr="00EB4B5A" w:rsidRDefault="00EB4B5A" w:rsidP="00EB4B5A">
            <w:pPr>
              <w:jc w:val="center"/>
            </w:pPr>
            <w:proofErr w:type="spellStart"/>
            <w:r w:rsidRPr="00EB4B5A">
              <w:t>ref</w:t>
            </w:r>
            <w:proofErr w:type="spellEnd"/>
          </w:p>
        </w:tc>
        <w:tc>
          <w:tcPr>
            <w:tcW w:w="665" w:type="dxa"/>
          </w:tcPr>
          <w:p w14:paraId="0C68775E" w14:textId="77777777" w:rsidR="00EB4B5A" w:rsidRPr="00EB4B5A" w:rsidRDefault="00EB4B5A" w:rsidP="00EB4B5A">
            <w:pPr>
              <w:jc w:val="center"/>
            </w:pPr>
            <w:r w:rsidRPr="00EB4B5A">
              <w:t>0.74 (0.61-0.9)</w:t>
            </w:r>
          </w:p>
        </w:tc>
        <w:tc>
          <w:tcPr>
            <w:tcW w:w="955" w:type="dxa"/>
          </w:tcPr>
          <w:p w14:paraId="1EB7FE8F" w14:textId="77777777" w:rsidR="00EB4B5A" w:rsidRPr="00EB4B5A" w:rsidRDefault="00EB4B5A" w:rsidP="00EB4B5A">
            <w:pPr>
              <w:jc w:val="center"/>
            </w:pPr>
            <w:r w:rsidRPr="00EB4B5A">
              <w:t>0.95 (0.66-1.35)</w:t>
            </w:r>
          </w:p>
        </w:tc>
      </w:tr>
      <w:tr w:rsidR="00EB4B5A" w:rsidRPr="00EB4B5A" w14:paraId="6B157A26" w14:textId="77777777" w:rsidTr="00365C12">
        <w:trPr>
          <w:jc w:val="center"/>
        </w:trPr>
        <w:tc>
          <w:tcPr>
            <w:tcW w:w="1374" w:type="dxa"/>
          </w:tcPr>
          <w:p w14:paraId="7ED2CD5A" w14:textId="77777777" w:rsidR="00EB4B5A" w:rsidRPr="00EB4B5A" w:rsidRDefault="00EB4B5A" w:rsidP="00EB4B5A">
            <w:pPr>
              <w:spacing w:after="160" w:line="259" w:lineRule="auto"/>
              <w:jc w:val="center"/>
            </w:pPr>
          </w:p>
        </w:tc>
        <w:tc>
          <w:tcPr>
            <w:tcW w:w="1173" w:type="dxa"/>
          </w:tcPr>
          <w:p w14:paraId="781CF24C" w14:textId="77777777" w:rsidR="00EB4B5A" w:rsidRPr="00EB4B5A" w:rsidRDefault="00EB4B5A" w:rsidP="00EB4B5A">
            <w:pPr>
              <w:spacing w:after="160" w:line="259" w:lineRule="auto"/>
              <w:jc w:val="center"/>
            </w:pPr>
            <w:proofErr w:type="spellStart"/>
            <w:r w:rsidRPr="00EB4B5A">
              <w:t>Korea</w:t>
            </w:r>
            <w:proofErr w:type="spellEnd"/>
          </w:p>
        </w:tc>
        <w:tc>
          <w:tcPr>
            <w:tcW w:w="653" w:type="dxa"/>
          </w:tcPr>
          <w:p w14:paraId="09885083"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4D8571A7" w14:textId="77777777" w:rsidR="00EB4B5A" w:rsidRPr="00EB4B5A" w:rsidRDefault="00EB4B5A" w:rsidP="00EB4B5A">
            <w:pPr>
              <w:jc w:val="center"/>
            </w:pPr>
            <w:r w:rsidRPr="00EB4B5A">
              <w:t>1.03 (0.93-1.15)</w:t>
            </w:r>
          </w:p>
        </w:tc>
        <w:tc>
          <w:tcPr>
            <w:tcW w:w="665" w:type="dxa"/>
          </w:tcPr>
          <w:p w14:paraId="1365F920" w14:textId="77777777" w:rsidR="00EB4B5A" w:rsidRPr="00EB4B5A" w:rsidRDefault="00EB4B5A" w:rsidP="00EB4B5A">
            <w:pPr>
              <w:jc w:val="center"/>
            </w:pPr>
            <w:r w:rsidRPr="00EB4B5A">
              <w:t>1.04 (0.84-1.3)</w:t>
            </w:r>
          </w:p>
        </w:tc>
        <w:tc>
          <w:tcPr>
            <w:tcW w:w="652" w:type="dxa"/>
          </w:tcPr>
          <w:p w14:paraId="4A12F1DA" w14:textId="77777777" w:rsidR="00EB4B5A" w:rsidRPr="00EB4B5A" w:rsidRDefault="00EB4B5A" w:rsidP="00EB4B5A">
            <w:pPr>
              <w:jc w:val="center"/>
            </w:pPr>
            <w:proofErr w:type="spellStart"/>
            <w:r w:rsidRPr="00EB4B5A">
              <w:t>ref</w:t>
            </w:r>
            <w:proofErr w:type="spellEnd"/>
          </w:p>
        </w:tc>
        <w:tc>
          <w:tcPr>
            <w:tcW w:w="665" w:type="dxa"/>
          </w:tcPr>
          <w:p w14:paraId="53D51EFF" w14:textId="77777777" w:rsidR="00EB4B5A" w:rsidRPr="00EB4B5A" w:rsidRDefault="00EB4B5A" w:rsidP="00EB4B5A">
            <w:pPr>
              <w:jc w:val="center"/>
            </w:pPr>
            <w:r w:rsidRPr="00EB4B5A">
              <w:t>0.89 (0.8-1)</w:t>
            </w:r>
          </w:p>
        </w:tc>
        <w:tc>
          <w:tcPr>
            <w:tcW w:w="665" w:type="dxa"/>
          </w:tcPr>
          <w:p w14:paraId="3212FE92" w14:textId="77777777" w:rsidR="00EB4B5A" w:rsidRPr="00EB4B5A" w:rsidRDefault="00EB4B5A" w:rsidP="00EB4B5A">
            <w:pPr>
              <w:jc w:val="center"/>
            </w:pPr>
            <w:r w:rsidRPr="00EB4B5A">
              <w:t>0.75 (0.6-0.94)</w:t>
            </w:r>
          </w:p>
        </w:tc>
        <w:tc>
          <w:tcPr>
            <w:tcW w:w="652" w:type="dxa"/>
          </w:tcPr>
          <w:p w14:paraId="1DBCEA07" w14:textId="77777777" w:rsidR="00EB4B5A" w:rsidRPr="00EB4B5A" w:rsidRDefault="00EB4B5A" w:rsidP="00EB4B5A">
            <w:pPr>
              <w:jc w:val="center"/>
            </w:pPr>
            <w:proofErr w:type="spellStart"/>
            <w:r w:rsidRPr="00EB4B5A">
              <w:t>ref</w:t>
            </w:r>
            <w:proofErr w:type="spellEnd"/>
          </w:p>
        </w:tc>
        <w:tc>
          <w:tcPr>
            <w:tcW w:w="665" w:type="dxa"/>
          </w:tcPr>
          <w:p w14:paraId="736AD0DA" w14:textId="77777777" w:rsidR="00EB4B5A" w:rsidRPr="00EB4B5A" w:rsidRDefault="00EB4B5A" w:rsidP="00EB4B5A">
            <w:pPr>
              <w:jc w:val="center"/>
            </w:pPr>
            <w:r w:rsidRPr="00EB4B5A">
              <w:t>1.1 (0.91-1.34)</w:t>
            </w:r>
          </w:p>
        </w:tc>
        <w:tc>
          <w:tcPr>
            <w:tcW w:w="955" w:type="dxa"/>
          </w:tcPr>
          <w:p w14:paraId="63DB31E1" w14:textId="77777777" w:rsidR="00EB4B5A" w:rsidRPr="00EB4B5A" w:rsidRDefault="00EB4B5A" w:rsidP="00EB4B5A">
            <w:pPr>
              <w:jc w:val="center"/>
            </w:pPr>
            <w:r w:rsidRPr="00EB4B5A">
              <w:t>1.15 (0.8-1.67)</w:t>
            </w:r>
          </w:p>
        </w:tc>
      </w:tr>
      <w:tr w:rsidR="00EB4B5A" w:rsidRPr="00EB4B5A" w14:paraId="0129D6B1" w14:textId="77777777" w:rsidTr="00365C12">
        <w:trPr>
          <w:jc w:val="center"/>
        </w:trPr>
        <w:tc>
          <w:tcPr>
            <w:tcW w:w="1374" w:type="dxa"/>
          </w:tcPr>
          <w:p w14:paraId="31FBF5D9" w14:textId="77777777" w:rsidR="00EB4B5A" w:rsidRPr="00EB4B5A" w:rsidRDefault="00EB4B5A" w:rsidP="00EB4B5A">
            <w:pPr>
              <w:spacing w:after="160" w:line="259" w:lineRule="auto"/>
              <w:jc w:val="center"/>
            </w:pPr>
          </w:p>
        </w:tc>
        <w:tc>
          <w:tcPr>
            <w:tcW w:w="1173" w:type="dxa"/>
          </w:tcPr>
          <w:p w14:paraId="2A134AFE" w14:textId="77777777" w:rsidR="00EB4B5A" w:rsidRPr="00EB4B5A" w:rsidRDefault="00EB4B5A" w:rsidP="00EB4B5A">
            <w:pPr>
              <w:spacing w:after="160" w:line="259" w:lineRule="auto"/>
              <w:jc w:val="center"/>
            </w:pPr>
            <w:r w:rsidRPr="00EB4B5A">
              <w:t>Macao</w:t>
            </w:r>
          </w:p>
        </w:tc>
        <w:tc>
          <w:tcPr>
            <w:tcW w:w="653" w:type="dxa"/>
          </w:tcPr>
          <w:p w14:paraId="4130BEDA"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06167D1A" w14:textId="77777777" w:rsidR="00EB4B5A" w:rsidRPr="00EB4B5A" w:rsidRDefault="00EB4B5A" w:rsidP="00EB4B5A">
            <w:pPr>
              <w:jc w:val="center"/>
            </w:pPr>
            <w:r w:rsidRPr="00EB4B5A">
              <w:t>0.68 (0.57-0.83)</w:t>
            </w:r>
          </w:p>
        </w:tc>
        <w:tc>
          <w:tcPr>
            <w:tcW w:w="665" w:type="dxa"/>
          </w:tcPr>
          <w:p w14:paraId="27CA01FF" w14:textId="77777777" w:rsidR="00EB4B5A" w:rsidRPr="00EB4B5A" w:rsidRDefault="00EB4B5A" w:rsidP="00EB4B5A">
            <w:pPr>
              <w:jc w:val="center"/>
            </w:pPr>
            <w:r w:rsidRPr="00EB4B5A">
              <w:t>0.64 (0.45-0.92)</w:t>
            </w:r>
          </w:p>
        </w:tc>
        <w:tc>
          <w:tcPr>
            <w:tcW w:w="652" w:type="dxa"/>
          </w:tcPr>
          <w:p w14:paraId="0BBB6C48" w14:textId="77777777" w:rsidR="00EB4B5A" w:rsidRPr="00EB4B5A" w:rsidRDefault="00EB4B5A" w:rsidP="00EB4B5A">
            <w:pPr>
              <w:jc w:val="center"/>
            </w:pPr>
            <w:proofErr w:type="spellStart"/>
            <w:r w:rsidRPr="00EB4B5A">
              <w:t>ref</w:t>
            </w:r>
            <w:proofErr w:type="spellEnd"/>
          </w:p>
        </w:tc>
        <w:tc>
          <w:tcPr>
            <w:tcW w:w="665" w:type="dxa"/>
          </w:tcPr>
          <w:p w14:paraId="3035B510" w14:textId="77777777" w:rsidR="00EB4B5A" w:rsidRPr="00EB4B5A" w:rsidRDefault="00EB4B5A" w:rsidP="00EB4B5A">
            <w:pPr>
              <w:jc w:val="center"/>
            </w:pPr>
            <w:r w:rsidRPr="00EB4B5A">
              <w:t>0.66 (0.54-0.81)</w:t>
            </w:r>
          </w:p>
        </w:tc>
        <w:tc>
          <w:tcPr>
            <w:tcW w:w="665" w:type="dxa"/>
          </w:tcPr>
          <w:p w14:paraId="176FF56A" w14:textId="77777777" w:rsidR="00EB4B5A" w:rsidRPr="00EB4B5A" w:rsidRDefault="00EB4B5A" w:rsidP="00EB4B5A">
            <w:pPr>
              <w:jc w:val="center"/>
            </w:pPr>
            <w:r w:rsidRPr="00EB4B5A">
              <w:t>0.53 (0.3-0.93)</w:t>
            </w:r>
          </w:p>
        </w:tc>
        <w:tc>
          <w:tcPr>
            <w:tcW w:w="652" w:type="dxa"/>
          </w:tcPr>
          <w:p w14:paraId="3D26ABBD" w14:textId="77777777" w:rsidR="00EB4B5A" w:rsidRPr="00EB4B5A" w:rsidRDefault="00EB4B5A" w:rsidP="00EB4B5A">
            <w:pPr>
              <w:jc w:val="center"/>
            </w:pPr>
            <w:proofErr w:type="spellStart"/>
            <w:r w:rsidRPr="00EB4B5A">
              <w:t>ref</w:t>
            </w:r>
            <w:proofErr w:type="spellEnd"/>
          </w:p>
        </w:tc>
        <w:tc>
          <w:tcPr>
            <w:tcW w:w="665" w:type="dxa"/>
          </w:tcPr>
          <w:p w14:paraId="0F974F66" w14:textId="77777777" w:rsidR="00EB4B5A" w:rsidRPr="00EB4B5A" w:rsidRDefault="00EB4B5A" w:rsidP="00EB4B5A">
            <w:pPr>
              <w:jc w:val="center"/>
            </w:pPr>
            <w:r w:rsidRPr="00EB4B5A">
              <w:t>0.93 (0.7-1.24)</w:t>
            </w:r>
          </w:p>
        </w:tc>
        <w:tc>
          <w:tcPr>
            <w:tcW w:w="955" w:type="dxa"/>
          </w:tcPr>
          <w:p w14:paraId="3ACDB873" w14:textId="77777777" w:rsidR="00EB4B5A" w:rsidRPr="00EB4B5A" w:rsidRDefault="00EB4B5A" w:rsidP="00EB4B5A">
            <w:pPr>
              <w:jc w:val="center"/>
            </w:pPr>
            <w:r w:rsidRPr="00EB4B5A">
              <w:t>1.2 (0.72-2.03)</w:t>
            </w:r>
          </w:p>
        </w:tc>
      </w:tr>
      <w:tr w:rsidR="00EB4B5A" w:rsidRPr="00EB4B5A" w14:paraId="4ABB6AC5" w14:textId="77777777" w:rsidTr="00365C12">
        <w:trPr>
          <w:jc w:val="center"/>
        </w:trPr>
        <w:tc>
          <w:tcPr>
            <w:tcW w:w="1374" w:type="dxa"/>
          </w:tcPr>
          <w:p w14:paraId="3D1DFFA5" w14:textId="77777777" w:rsidR="00EB4B5A" w:rsidRPr="00EB4B5A" w:rsidRDefault="00EB4B5A" w:rsidP="00EB4B5A">
            <w:pPr>
              <w:spacing w:after="160" w:line="259" w:lineRule="auto"/>
              <w:jc w:val="center"/>
            </w:pPr>
          </w:p>
        </w:tc>
        <w:tc>
          <w:tcPr>
            <w:tcW w:w="1173" w:type="dxa"/>
          </w:tcPr>
          <w:p w14:paraId="42E53163" w14:textId="77777777" w:rsidR="00EB4B5A" w:rsidRPr="00EB4B5A" w:rsidRDefault="00EB4B5A" w:rsidP="00EB4B5A">
            <w:pPr>
              <w:spacing w:after="160" w:line="259" w:lineRule="auto"/>
              <w:jc w:val="center"/>
            </w:pPr>
            <w:r w:rsidRPr="00EB4B5A">
              <w:t xml:space="preserve">New </w:t>
            </w:r>
            <w:proofErr w:type="spellStart"/>
            <w:r w:rsidRPr="00EB4B5A">
              <w:t>Zealand</w:t>
            </w:r>
            <w:proofErr w:type="spellEnd"/>
          </w:p>
        </w:tc>
        <w:tc>
          <w:tcPr>
            <w:tcW w:w="653" w:type="dxa"/>
          </w:tcPr>
          <w:p w14:paraId="6DA47D1A"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5A603BFD" w14:textId="77777777" w:rsidR="00EB4B5A" w:rsidRPr="00EB4B5A" w:rsidRDefault="00EB4B5A" w:rsidP="00EB4B5A">
            <w:pPr>
              <w:jc w:val="center"/>
            </w:pPr>
            <w:r w:rsidRPr="00EB4B5A">
              <w:t>0.76 (0.66-0.88)</w:t>
            </w:r>
          </w:p>
        </w:tc>
        <w:tc>
          <w:tcPr>
            <w:tcW w:w="665" w:type="dxa"/>
          </w:tcPr>
          <w:p w14:paraId="38EA4854" w14:textId="77777777" w:rsidR="00EB4B5A" w:rsidRPr="00EB4B5A" w:rsidRDefault="00EB4B5A" w:rsidP="00EB4B5A">
            <w:pPr>
              <w:jc w:val="center"/>
            </w:pPr>
            <w:r w:rsidRPr="00EB4B5A">
              <w:t>0.42 (0.32-0.54)</w:t>
            </w:r>
          </w:p>
        </w:tc>
        <w:tc>
          <w:tcPr>
            <w:tcW w:w="652" w:type="dxa"/>
          </w:tcPr>
          <w:p w14:paraId="0EE59C2E" w14:textId="77777777" w:rsidR="00EB4B5A" w:rsidRPr="00EB4B5A" w:rsidRDefault="00EB4B5A" w:rsidP="00EB4B5A">
            <w:pPr>
              <w:jc w:val="center"/>
            </w:pPr>
            <w:proofErr w:type="spellStart"/>
            <w:r w:rsidRPr="00EB4B5A">
              <w:t>ref</w:t>
            </w:r>
            <w:proofErr w:type="spellEnd"/>
          </w:p>
        </w:tc>
        <w:tc>
          <w:tcPr>
            <w:tcW w:w="665" w:type="dxa"/>
          </w:tcPr>
          <w:p w14:paraId="19A54623" w14:textId="77777777" w:rsidR="00EB4B5A" w:rsidRPr="00EB4B5A" w:rsidRDefault="00EB4B5A" w:rsidP="00EB4B5A">
            <w:pPr>
              <w:jc w:val="center"/>
            </w:pPr>
            <w:r w:rsidRPr="00EB4B5A">
              <w:t>0.65 (0.56-0.76)</w:t>
            </w:r>
          </w:p>
        </w:tc>
        <w:tc>
          <w:tcPr>
            <w:tcW w:w="665" w:type="dxa"/>
          </w:tcPr>
          <w:p w14:paraId="748073BE" w14:textId="77777777" w:rsidR="00EB4B5A" w:rsidRPr="00EB4B5A" w:rsidRDefault="00EB4B5A" w:rsidP="00EB4B5A">
            <w:pPr>
              <w:jc w:val="center"/>
            </w:pPr>
            <w:r w:rsidRPr="00EB4B5A">
              <w:t>0.39 (0.3-0.51)</w:t>
            </w:r>
          </w:p>
        </w:tc>
        <w:tc>
          <w:tcPr>
            <w:tcW w:w="652" w:type="dxa"/>
          </w:tcPr>
          <w:p w14:paraId="7EE547B7" w14:textId="77777777" w:rsidR="00EB4B5A" w:rsidRPr="00EB4B5A" w:rsidRDefault="00EB4B5A" w:rsidP="00EB4B5A">
            <w:pPr>
              <w:jc w:val="center"/>
            </w:pPr>
            <w:proofErr w:type="spellStart"/>
            <w:r w:rsidRPr="00EB4B5A">
              <w:t>ref</w:t>
            </w:r>
            <w:proofErr w:type="spellEnd"/>
          </w:p>
        </w:tc>
        <w:tc>
          <w:tcPr>
            <w:tcW w:w="665" w:type="dxa"/>
          </w:tcPr>
          <w:p w14:paraId="3CFD35E3" w14:textId="77777777" w:rsidR="00EB4B5A" w:rsidRPr="00EB4B5A" w:rsidRDefault="00EB4B5A" w:rsidP="00EB4B5A">
            <w:pPr>
              <w:jc w:val="center"/>
            </w:pPr>
            <w:r w:rsidRPr="00EB4B5A">
              <w:t>0.88 (0.78-0.99)</w:t>
            </w:r>
          </w:p>
        </w:tc>
        <w:tc>
          <w:tcPr>
            <w:tcW w:w="955" w:type="dxa"/>
          </w:tcPr>
          <w:p w14:paraId="5909096C" w14:textId="77777777" w:rsidR="00EB4B5A" w:rsidRPr="00EB4B5A" w:rsidRDefault="00EB4B5A" w:rsidP="00EB4B5A">
            <w:pPr>
              <w:jc w:val="center"/>
            </w:pPr>
            <w:r w:rsidRPr="00EB4B5A">
              <w:t>0.83 (0.65-1.05)</w:t>
            </w:r>
          </w:p>
        </w:tc>
      </w:tr>
      <w:tr w:rsidR="00EB4B5A" w:rsidRPr="00EB4B5A" w14:paraId="5C70AF47" w14:textId="77777777" w:rsidTr="00365C12">
        <w:trPr>
          <w:jc w:val="center"/>
        </w:trPr>
        <w:tc>
          <w:tcPr>
            <w:tcW w:w="1374" w:type="dxa"/>
          </w:tcPr>
          <w:p w14:paraId="12FBEF0C" w14:textId="77777777" w:rsidR="00EB4B5A" w:rsidRPr="00EB4B5A" w:rsidRDefault="00EB4B5A" w:rsidP="00EB4B5A">
            <w:pPr>
              <w:spacing w:after="160" w:line="259" w:lineRule="auto"/>
              <w:jc w:val="center"/>
            </w:pPr>
          </w:p>
        </w:tc>
        <w:tc>
          <w:tcPr>
            <w:tcW w:w="1173" w:type="dxa"/>
          </w:tcPr>
          <w:p w14:paraId="660E4CEA" w14:textId="77777777" w:rsidR="00EB4B5A" w:rsidRPr="00EB4B5A" w:rsidRDefault="00EB4B5A" w:rsidP="00EB4B5A">
            <w:pPr>
              <w:spacing w:after="160" w:line="259" w:lineRule="auto"/>
              <w:jc w:val="center"/>
            </w:pPr>
            <w:proofErr w:type="spellStart"/>
            <w:r w:rsidRPr="00EB4B5A">
              <w:t>Singapore</w:t>
            </w:r>
            <w:proofErr w:type="spellEnd"/>
          </w:p>
        </w:tc>
        <w:tc>
          <w:tcPr>
            <w:tcW w:w="653" w:type="dxa"/>
          </w:tcPr>
          <w:p w14:paraId="4DA997A1"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7E2AE788" w14:textId="77777777" w:rsidR="00EB4B5A" w:rsidRPr="00EB4B5A" w:rsidRDefault="00EB4B5A" w:rsidP="00EB4B5A">
            <w:pPr>
              <w:jc w:val="center"/>
            </w:pPr>
            <w:r w:rsidRPr="00EB4B5A">
              <w:t>0.7 (0.63-0.79)</w:t>
            </w:r>
          </w:p>
        </w:tc>
        <w:tc>
          <w:tcPr>
            <w:tcW w:w="665" w:type="dxa"/>
          </w:tcPr>
          <w:p w14:paraId="4F0149C3" w14:textId="77777777" w:rsidR="00EB4B5A" w:rsidRPr="00EB4B5A" w:rsidRDefault="00EB4B5A" w:rsidP="00EB4B5A">
            <w:pPr>
              <w:jc w:val="center"/>
            </w:pPr>
            <w:r w:rsidRPr="00EB4B5A">
              <w:t>0.53 (0.41-0.68)</w:t>
            </w:r>
          </w:p>
        </w:tc>
        <w:tc>
          <w:tcPr>
            <w:tcW w:w="652" w:type="dxa"/>
          </w:tcPr>
          <w:p w14:paraId="7F779354" w14:textId="77777777" w:rsidR="00EB4B5A" w:rsidRPr="00EB4B5A" w:rsidRDefault="00EB4B5A" w:rsidP="00EB4B5A">
            <w:pPr>
              <w:jc w:val="center"/>
            </w:pPr>
            <w:proofErr w:type="spellStart"/>
            <w:r w:rsidRPr="00EB4B5A">
              <w:t>ref</w:t>
            </w:r>
            <w:proofErr w:type="spellEnd"/>
          </w:p>
        </w:tc>
        <w:tc>
          <w:tcPr>
            <w:tcW w:w="665" w:type="dxa"/>
          </w:tcPr>
          <w:p w14:paraId="295C0763" w14:textId="77777777" w:rsidR="00EB4B5A" w:rsidRPr="00EB4B5A" w:rsidRDefault="00EB4B5A" w:rsidP="00EB4B5A">
            <w:pPr>
              <w:jc w:val="center"/>
            </w:pPr>
            <w:r w:rsidRPr="00EB4B5A">
              <w:t>0.8 (0.67-0.94)</w:t>
            </w:r>
          </w:p>
        </w:tc>
        <w:tc>
          <w:tcPr>
            <w:tcW w:w="665" w:type="dxa"/>
          </w:tcPr>
          <w:p w14:paraId="4A941CD5" w14:textId="77777777" w:rsidR="00EB4B5A" w:rsidRPr="00EB4B5A" w:rsidRDefault="00EB4B5A" w:rsidP="00EB4B5A">
            <w:pPr>
              <w:jc w:val="center"/>
            </w:pPr>
            <w:r w:rsidRPr="00EB4B5A">
              <w:t>0.41 (0.32-0.53)</w:t>
            </w:r>
          </w:p>
        </w:tc>
        <w:tc>
          <w:tcPr>
            <w:tcW w:w="652" w:type="dxa"/>
          </w:tcPr>
          <w:p w14:paraId="2F22F63D" w14:textId="77777777" w:rsidR="00EB4B5A" w:rsidRPr="00EB4B5A" w:rsidRDefault="00EB4B5A" w:rsidP="00EB4B5A">
            <w:pPr>
              <w:jc w:val="center"/>
            </w:pPr>
            <w:proofErr w:type="spellStart"/>
            <w:r w:rsidRPr="00EB4B5A">
              <w:t>ref</w:t>
            </w:r>
            <w:proofErr w:type="spellEnd"/>
          </w:p>
        </w:tc>
        <w:tc>
          <w:tcPr>
            <w:tcW w:w="665" w:type="dxa"/>
          </w:tcPr>
          <w:p w14:paraId="6B4D5A59" w14:textId="77777777" w:rsidR="00EB4B5A" w:rsidRPr="00EB4B5A" w:rsidRDefault="00EB4B5A" w:rsidP="00EB4B5A">
            <w:pPr>
              <w:jc w:val="center"/>
            </w:pPr>
            <w:r w:rsidRPr="00EB4B5A">
              <w:t>0.87 (0.74-1.02)</w:t>
            </w:r>
          </w:p>
        </w:tc>
        <w:tc>
          <w:tcPr>
            <w:tcW w:w="955" w:type="dxa"/>
          </w:tcPr>
          <w:p w14:paraId="11900085" w14:textId="77777777" w:rsidR="00EB4B5A" w:rsidRPr="00EB4B5A" w:rsidRDefault="00EB4B5A" w:rsidP="00EB4B5A">
            <w:pPr>
              <w:jc w:val="center"/>
            </w:pPr>
            <w:r w:rsidRPr="00EB4B5A">
              <w:t>1.02 (0.76-1.35)</w:t>
            </w:r>
          </w:p>
        </w:tc>
      </w:tr>
      <w:tr w:rsidR="00EB4B5A" w:rsidRPr="00EB4B5A" w14:paraId="0B3F5622" w14:textId="77777777" w:rsidTr="00365C12">
        <w:trPr>
          <w:jc w:val="center"/>
        </w:trPr>
        <w:tc>
          <w:tcPr>
            <w:tcW w:w="1374" w:type="dxa"/>
          </w:tcPr>
          <w:p w14:paraId="6A012323" w14:textId="77777777" w:rsidR="00EB4B5A" w:rsidRPr="00EB4B5A" w:rsidRDefault="00EB4B5A" w:rsidP="00EB4B5A">
            <w:pPr>
              <w:spacing w:after="160" w:line="259" w:lineRule="auto"/>
              <w:jc w:val="center"/>
            </w:pPr>
          </w:p>
        </w:tc>
        <w:tc>
          <w:tcPr>
            <w:tcW w:w="1173" w:type="dxa"/>
          </w:tcPr>
          <w:p w14:paraId="48ADE894" w14:textId="77777777" w:rsidR="00EB4B5A" w:rsidRPr="00EB4B5A" w:rsidRDefault="00EB4B5A" w:rsidP="00EB4B5A">
            <w:pPr>
              <w:spacing w:after="160" w:line="259" w:lineRule="auto"/>
              <w:jc w:val="center"/>
            </w:pPr>
            <w:proofErr w:type="spellStart"/>
            <w:r w:rsidRPr="00EB4B5A">
              <w:t>Thailand</w:t>
            </w:r>
            <w:proofErr w:type="spellEnd"/>
          </w:p>
        </w:tc>
        <w:tc>
          <w:tcPr>
            <w:tcW w:w="653" w:type="dxa"/>
          </w:tcPr>
          <w:p w14:paraId="52C06110" w14:textId="77777777" w:rsidR="00EB4B5A" w:rsidRPr="00EB4B5A" w:rsidRDefault="00EB4B5A" w:rsidP="00EB4B5A">
            <w:pPr>
              <w:spacing w:after="160" w:line="259" w:lineRule="auto"/>
              <w:jc w:val="center"/>
            </w:pPr>
            <w:proofErr w:type="spellStart"/>
            <w:r w:rsidRPr="00EB4B5A">
              <w:t>ref</w:t>
            </w:r>
            <w:proofErr w:type="spellEnd"/>
          </w:p>
        </w:tc>
        <w:tc>
          <w:tcPr>
            <w:tcW w:w="665" w:type="dxa"/>
          </w:tcPr>
          <w:p w14:paraId="395880D9" w14:textId="77777777" w:rsidR="00EB4B5A" w:rsidRPr="00EB4B5A" w:rsidRDefault="00EB4B5A" w:rsidP="00EB4B5A">
            <w:pPr>
              <w:jc w:val="center"/>
            </w:pPr>
            <w:r w:rsidRPr="00EB4B5A">
              <w:t>0.85 (0.77-0.94)</w:t>
            </w:r>
          </w:p>
        </w:tc>
        <w:tc>
          <w:tcPr>
            <w:tcW w:w="665" w:type="dxa"/>
          </w:tcPr>
          <w:p w14:paraId="1353DD1A" w14:textId="77777777" w:rsidR="00EB4B5A" w:rsidRPr="00EB4B5A" w:rsidRDefault="00EB4B5A" w:rsidP="00EB4B5A">
            <w:pPr>
              <w:jc w:val="center"/>
            </w:pPr>
            <w:r w:rsidRPr="00EB4B5A">
              <w:t>0.61 (0.53-0.71)</w:t>
            </w:r>
          </w:p>
        </w:tc>
        <w:tc>
          <w:tcPr>
            <w:tcW w:w="652" w:type="dxa"/>
          </w:tcPr>
          <w:p w14:paraId="1355E0E0" w14:textId="77777777" w:rsidR="00EB4B5A" w:rsidRPr="00EB4B5A" w:rsidRDefault="00EB4B5A" w:rsidP="00EB4B5A">
            <w:pPr>
              <w:jc w:val="center"/>
            </w:pPr>
            <w:proofErr w:type="spellStart"/>
            <w:r w:rsidRPr="00EB4B5A">
              <w:t>ref</w:t>
            </w:r>
            <w:proofErr w:type="spellEnd"/>
          </w:p>
        </w:tc>
        <w:tc>
          <w:tcPr>
            <w:tcW w:w="665" w:type="dxa"/>
          </w:tcPr>
          <w:p w14:paraId="60A0AE37" w14:textId="77777777" w:rsidR="00EB4B5A" w:rsidRPr="00EB4B5A" w:rsidRDefault="00EB4B5A" w:rsidP="00EB4B5A">
            <w:pPr>
              <w:jc w:val="center"/>
            </w:pPr>
            <w:r w:rsidRPr="00EB4B5A">
              <w:t>0.75 (0.66-0.85)</w:t>
            </w:r>
          </w:p>
        </w:tc>
        <w:tc>
          <w:tcPr>
            <w:tcW w:w="665" w:type="dxa"/>
          </w:tcPr>
          <w:p w14:paraId="0F4860B4" w14:textId="77777777" w:rsidR="00EB4B5A" w:rsidRPr="00EB4B5A" w:rsidRDefault="00EB4B5A" w:rsidP="00EB4B5A">
            <w:pPr>
              <w:jc w:val="center"/>
            </w:pPr>
            <w:r w:rsidRPr="00EB4B5A">
              <w:t>0.48 (0.41-0.57)</w:t>
            </w:r>
          </w:p>
        </w:tc>
        <w:tc>
          <w:tcPr>
            <w:tcW w:w="652" w:type="dxa"/>
          </w:tcPr>
          <w:p w14:paraId="66B2A25E" w14:textId="77777777" w:rsidR="00EB4B5A" w:rsidRPr="00EB4B5A" w:rsidRDefault="00EB4B5A" w:rsidP="00EB4B5A">
            <w:pPr>
              <w:jc w:val="center"/>
            </w:pPr>
            <w:proofErr w:type="spellStart"/>
            <w:r w:rsidRPr="00EB4B5A">
              <w:t>ref</w:t>
            </w:r>
            <w:proofErr w:type="spellEnd"/>
          </w:p>
        </w:tc>
        <w:tc>
          <w:tcPr>
            <w:tcW w:w="665" w:type="dxa"/>
          </w:tcPr>
          <w:p w14:paraId="6E0BED34" w14:textId="77777777" w:rsidR="00EB4B5A" w:rsidRPr="00EB4B5A" w:rsidRDefault="00EB4B5A" w:rsidP="00EB4B5A">
            <w:pPr>
              <w:jc w:val="center"/>
            </w:pPr>
            <w:r w:rsidRPr="00EB4B5A">
              <w:t>0.91 (0.81-1.02)</w:t>
            </w:r>
          </w:p>
        </w:tc>
        <w:tc>
          <w:tcPr>
            <w:tcW w:w="955" w:type="dxa"/>
          </w:tcPr>
          <w:p w14:paraId="5A97C3CC" w14:textId="77777777" w:rsidR="00EB4B5A" w:rsidRPr="00EB4B5A" w:rsidRDefault="00EB4B5A" w:rsidP="00EB4B5A">
            <w:pPr>
              <w:jc w:val="center"/>
            </w:pPr>
            <w:r w:rsidRPr="00EB4B5A">
              <w:t>0.9 (0.77-1.05)</w:t>
            </w:r>
          </w:p>
        </w:tc>
      </w:tr>
      <w:tr w:rsidR="00EB4B5A" w:rsidRPr="00EB4B5A" w14:paraId="77010068" w14:textId="77777777" w:rsidTr="00365C12">
        <w:trPr>
          <w:jc w:val="center"/>
        </w:trPr>
        <w:tc>
          <w:tcPr>
            <w:tcW w:w="1374" w:type="dxa"/>
            <w:tcBorders>
              <w:bottom w:val="single" w:sz="4" w:space="0" w:color="auto"/>
            </w:tcBorders>
          </w:tcPr>
          <w:p w14:paraId="17D814D8" w14:textId="77777777" w:rsidR="00EB4B5A" w:rsidRPr="00EB4B5A" w:rsidRDefault="00EB4B5A" w:rsidP="00EB4B5A">
            <w:pPr>
              <w:spacing w:after="160" w:line="259" w:lineRule="auto"/>
              <w:jc w:val="center"/>
            </w:pPr>
            <w:proofErr w:type="spellStart"/>
            <w:r w:rsidRPr="00EB4B5A">
              <w:t>Africa</w:t>
            </w:r>
            <w:proofErr w:type="spellEnd"/>
          </w:p>
        </w:tc>
        <w:tc>
          <w:tcPr>
            <w:tcW w:w="1173" w:type="dxa"/>
            <w:tcBorders>
              <w:bottom w:val="single" w:sz="4" w:space="0" w:color="auto"/>
            </w:tcBorders>
          </w:tcPr>
          <w:p w14:paraId="57A468AD" w14:textId="77777777" w:rsidR="00EB4B5A" w:rsidRPr="00EB4B5A" w:rsidRDefault="00EB4B5A" w:rsidP="00EB4B5A">
            <w:pPr>
              <w:spacing w:after="160" w:line="259" w:lineRule="auto"/>
              <w:jc w:val="center"/>
            </w:pPr>
            <w:proofErr w:type="spellStart"/>
            <w:r w:rsidRPr="00EB4B5A">
              <w:t>Morocco</w:t>
            </w:r>
            <w:proofErr w:type="spellEnd"/>
          </w:p>
        </w:tc>
        <w:tc>
          <w:tcPr>
            <w:tcW w:w="653" w:type="dxa"/>
            <w:tcBorders>
              <w:bottom w:val="single" w:sz="4" w:space="0" w:color="auto"/>
            </w:tcBorders>
          </w:tcPr>
          <w:p w14:paraId="59509641" w14:textId="77777777" w:rsidR="00EB4B5A" w:rsidRPr="00EB4B5A" w:rsidRDefault="00EB4B5A" w:rsidP="00EB4B5A">
            <w:pPr>
              <w:spacing w:after="160" w:line="259" w:lineRule="auto"/>
              <w:jc w:val="center"/>
            </w:pPr>
            <w:proofErr w:type="spellStart"/>
            <w:r w:rsidRPr="00EB4B5A">
              <w:t>ref</w:t>
            </w:r>
            <w:proofErr w:type="spellEnd"/>
          </w:p>
        </w:tc>
        <w:tc>
          <w:tcPr>
            <w:tcW w:w="665" w:type="dxa"/>
            <w:tcBorders>
              <w:bottom w:val="single" w:sz="4" w:space="0" w:color="auto"/>
            </w:tcBorders>
          </w:tcPr>
          <w:p w14:paraId="03A11A8D" w14:textId="77777777" w:rsidR="00EB4B5A" w:rsidRPr="00EB4B5A" w:rsidRDefault="00EB4B5A" w:rsidP="00EB4B5A">
            <w:pPr>
              <w:jc w:val="center"/>
            </w:pPr>
            <w:r w:rsidRPr="00EB4B5A">
              <w:t>0.71 (0.61-0.81)</w:t>
            </w:r>
          </w:p>
        </w:tc>
        <w:tc>
          <w:tcPr>
            <w:tcW w:w="665" w:type="dxa"/>
            <w:tcBorders>
              <w:bottom w:val="single" w:sz="4" w:space="0" w:color="auto"/>
            </w:tcBorders>
          </w:tcPr>
          <w:p w14:paraId="56844C04" w14:textId="77777777" w:rsidR="00EB4B5A" w:rsidRPr="00EB4B5A" w:rsidRDefault="00EB4B5A" w:rsidP="00EB4B5A">
            <w:pPr>
              <w:jc w:val="center"/>
            </w:pPr>
            <w:r w:rsidRPr="00EB4B5A">
              <w:t>0.4 (0.34-0.47)</w:t>
            </w:r>
          </w:p>
        </w:tc>
        <w:tc>
          <w:tcPr>
            <w:tcW w:w="652" w:type="dxa"/>
            <w:tcBorders>
              <w:bottom w:val="single" w:sz="4" w:space="0" w:color="auto"/>
            </w:tcBorders>
          </w:tcPr>
          <w:p w14:paraId="2C652985" w14:textId="77777777" w:rsidR="00EB4B5A" w:rsidRPr="00EB4B5A" w:rsidRDefault="00EB4B5A" w:rsidP="00EB4B5A">
            <w:pPr>
              <w:jc w:val="center"/>
            </w:pPr>
            <w:proofErr w:type="spellStart"/>
            <w:r w:rsidRPr="00EB4B5A">
              <w:t>ref</w:t>
            </w:r>
            <w:proofErr w:type="spellEnd"/>
          </w:p>
        </w:tc>
        <w:tc>
          <w:tcPr>
            <w:tcW w:w="665" w:type="dxa"/>
            <w:tcBorders>
              <w:bottom w:val="single" w:sz="4" w:space="0" w:color="auto"/>
            </w:tcBorders>
          </w:tcPr>
          <w:p w14:paraId="3FF694A7" w14:textId="77777777" w:rsidR="00EB4B5A" w:rsidRPr="00EB4B5A" w:rsidRDefault="00EB4B5A" w:rsidP="00EB4B5A">
            <w:pPr>
              <w:jc w:val="center"/>
            </w:pPr>
            <w:r w:rsidRPr="00EB4B5A">
              <w:t>0.81 (0.7-0.93)</w:t>
            </w:r>
          </w:p>
        </w:tc>
        <w:tc>
          <w:tcPr>
            <w:tcW w:w="665" w:type="dxa"/>
            <w:tcBorders>
              <w:bottom w:val="single" w:sz="4" w:space="0" w:color="auto"/>
            </w:tcBorders>
          </w:tcPr>
          <w:p w14:paraId="71B1B37D" w14:textId="77777777" w:rsidR="00EB4B5A" w:rsidRPr="00EB4B5A" w:rsidRDefault="00EB4B5A" w:rsidP="00EB4B5A">
            <w:pPr>
              <w:jc w:val="center"/>
            </w:pPr>
            <w:r w:rsidRPr="00EB4B5A">
              <w:t>0.47 (0.4-0.54)</w:t>
            </w:r>
          </w:p>
        </w:tc>
        <w:tc>
          <w:tcPr>
            <w:tcW w:w="652" w:type="dxa"/>
            <w:tcBorders>
              <w:bottom w:val="single" w:sz="4" w:space="0" w:color="auto"/>
            </w:tcBorders>
          </w:tcPr>
          <w:p w14:paraId="493FC708" w14:textId="77777777" w:rsidR="00EB4B5A" w:rsidRPr="00EB4B5A" w:rsidRDefault="00EB4B5A" w:rsidP="00EB4B5A">
            <w:pPr>
              <w:jc w:val="center"/>
            </w:pPr>
            <w:proofErr w:type="spellStart"/>
            <w:r w:rsidRPr="00EB4B5A">
              <w:t>ref</w:t>
            </w:r>
            <w:proofErr w:type="spellEnd"/>
          </w:p>
        </w:tc>
        <w:tc>
          <w:tcPr>
            <w:tcW w:w="665" w:type="dxa"/>
            <w:tcBorders>
              <w:bottom w:val="single" w:sz="4" w:space="0" w:color="auto"/>
            </w:tcBorders>
          </w:tcPr>
          <w:p w14:paraId="2EC36B3A" w14:textId="77777777" w:rsidR="00EB4B5A" w:rsidRPr="00EB4B5A" w:rsidRDefault="00EB4B5A" w:rsidP="00EB4B5A">
            <w:pPr>
              <w:jc w:val="center"/>
            </w:pPr>
            <w:r w:rsidRPr="00EB4B5A">
              <w:t>0.89 (0.74-1.08)</w:t>
            </w:r>
          </w:p>
        </w:tc>
        <w:tc>
          <w:tcPr>
            <w:tcW w:w="955" w:type="dxa"/>
            <w:tcBorders>
              <w:bottom w:val="single" w:sz="4" w:space="0" w:color="auto"/>
            </w:tcBorders>
          </w:tcPr>
          <w:p w14:paraId="19F56A70" w14:textId="77777777" w:rsidR="00EB4B5A" w:rsidRPr="00EB4B5A" w:rsidRDefault="00EB4B5A" w:rsidP="00EB4B5A">
            <w:pPr>
              <w:jc w:val="center"/>
            </w:pPr>
            <w:r w:rsidRPr="00EB4B5A">
              <w:t>0.58 (0.46-0.74)</w:t>
            </w:r>
          </w:p>
        </w:tc>
      </w:tr>
      <w:tr w:rsidR="00EB4B5A" w:rsidRPr="00EB4B5A" w14:paraId="47526894" w14:textId="77777777" w:rsidTr="00365C12">
        <w:trPr>
          <w:jc w:val="center"/>
        </w:trPr>
        <w:tc>
          <w:tcPr>
            <w:tcW w:w="8784" w:type="dxa"/>
            <w:gridSpan w:val="11"/>
            <w:tcBorders>
              <w:left w:val="nil"/>
              <w:bottom w:val="nil"/>
              <w:right w:val="nil"/>
            </w:tcBorders>
          </w:tcPr>
          <w:p w14:paraId="7C799F0C" w14:textId="77777777" w:rsidR="00EB4B5A" w:rsidRPr="00EB4B5A" w:rsidRDefault="00EB4B5A" w:rsidP="00EB4B5A">
            <w:pPr>
              <w:rPr>
                <w:lang w:val="en-GB"/>
              </w:rPr>
            </w:pPr>
            <w:r w:rsidRPr="00EB4B5A">
              <w:rPr>
                <w:lang w:val="en-GB"/>
              </w:rPr>
              <w:t xml:space="preserve">Overall analyses adjusted for age, gender, country, and socioeconomic status. </w:t>
            </w:r>
          </w:p>
          <w:p w14:paraId="60D78692" w14:textId="77777777" w:rsidR="00EB4B5A" w:rsidRPr="00EB4B5A" w:rsidRDefault="00EB4B5A" w:rsidP="00EB4B5A">
            <w:pPr>
              <w:rPr>
                <w:lang w:val="en-GB"/>
              </w:rPr>
            </w:pPr>
            <w:r w:rsidRPr="00EB4B5A">
              <w:rPr>
                <w:lang w:val="en-GB"/>
              </w:rPr>
              <w:t>Individual-country analyses adjusted for age, gender, and socioeconomic status.</w:t>
            </w:r>
          </w:p>
        </w:tc>
      </w:tr>
    </w:tbl>
    <w:p w14:paraId="26068F83" w14:textId="423DA820" w:rsidR="00EB4B5A" w:rsidRDefault="00EB4B5A" w:rsidP="00EB4B5A">
      <w:pPr>
        <w:rPr>
          <w:sz w:val="24"/>
          <w:szCs w:val="24"/>
          <w:lang w:val="en-GB"/>
        </w:rPr>
      </w:pPr>
    </w:p>
    <w:p w14:paraId="5267A1B3" w14:textId="6CB33434" w:rsidR="00EB4B5A" w:rsidRDefault="00EB4B5A" w:rsidP="00EB4B5A">
      <w:pPr>
        <w:rPr>
          <w:sz w:val="24"/>
          <w:szCs w:val="24"/>
          <w:lang w:val="en-GB"/>
        </w:rPr>
      </w:pPr>
    </w:p>
    <w:p w14:paraId="31E6A979" w14:textId="79006716" w:rsidR="00EB4B5A" w:rsidRDefault="00EB4B5A" w:rsidP="00EB4B5A">
      <w:pPr>
        <w:rPr>
          <w:sz w:val="24"/>
          <w:szCs w:val="24"/>
          <w:lang w:val="en-GB"/>
        </w:rPr>
      </w:pPr>
    </w:p>
    <w:p w14:paraId="1F7FB8EC" w14:textId="01E5E804" w:rsidR="00EB4B5A" w:rsidRDefault="00EB4B5A" w:rsidP="00EB4B5A">
      <w:pPr>
        <w:rPr>
          <w:sz w:val="24"/>
          <w:szCs w:val="24"/>
          <w:lang w:val="en-GB"/>
        </w:rPr>
      </w:pPr>
    </w:p>
    <w:p w14:paraId="6C02905B" w14:textId="3968E806" w:rsidR="00EB4B5A" w:rsidRDefault="00EB4B5A" w:rsidP="00EB4B5A">
      <w:pPr>
        <w:rPr>
          <w:sz w:val="24"/>
          <w:szCs w:val="24"/>
          <w:lang w:val="en-GB"/>
        </w:rPr>
      </w:pPr>
    </w:p>
    <w:p w14:paraId="089A0D6B" w14:textId="1901702E" w:rsidR="00EB4B5A" w:rsidRDefault="00EB4B5A" w:rsidP="00EB4B5A">
      <w:pPr>
        <w:rPr>
          <w:sz w:val="24"/>
          <w:szCs w:val="24"/>
          <w:lang w:val="en-GB"/>
        </w:rPr>
      </w:pPr>
    </w:p>
    <w:p w14:paraId="673951ED" w14:textId="1D08DA4D" w:rsidR="00EB4B5A" w:rsidRDefault="00EB4B5A" w:rsidP="00EB4B5A">
      <w:pPr>
        <w:rPr>
          <w:sz w:val="24"/>
          <w:szCs w:val="24"/>
          <w:lang w:val="en-GB"/>
        </w:rPr>
      </w:pPr>
    </w:p>
    <w:p w14:paraId="77AB7058" w14:textId="0701DEE7" w:rsidR="00EB4B5A" w:rsidRDefault="00EB4B5A" w:rsidP="00EB4B5A">
      <w:pPr>
        <w:rPr>
          <w:sz w:val="24"/>
          <w:szCs w:val="24"/>
          <w:lang w:val="en-GB"/>
        </w:rPr>
      </w:pPr>
    </w:p>
    <w:p w14:paraId="6DD0EC01" w14:textId="02FAC306" w:rsidR="00EB4B5A" w:rsidRDefault="00EB4B5A" w:rsidP="00EB4B5A">
      <w:pPr>
        <w:rPr>
          <w:sz w:val="24"/>
          <w:szCs w:val="24"/>
          <w:lang w:val="en-GB"/>
        </w:rPr>
      </w:pPr>
    </w:p>
    <w:p w14:paraId="69187CF1" w14:textId="6B7E197E" w:rsidR="00EB4B5A" w:rsidRDefault="00EB4B5A" w:rsidP="00EB4B5A">
      <w:pPr>
        <w:rPr>
          <w:sz w:val="24"/>
          <w:szCs w:val="24"/>
          <w:lang w:val="en-GB"/>
        </w:rPr>
      </w:pPr>
    </w:p>
    <w:p w14:paraId="5FA4F5DA" w14:textId="5678886E" w:rsidR="00EB4B5A" w:rsidRDefault="00EB4B5A" w:rsidP="00EB4B5A">
      <w:pPr>
        <w:rPr>
          <w:sz w:val="24"/>
          <w:szCs w:val="24"/>
          <w:lang w:val="en-GB"/>
        </w:rPr>
      </w:pPr>
    </w:p>
    <w:p w14:paraId="6916D4CD" w14:textId="2BEEAB71" w:rsidR="00EB4B5A" w:rsidRDefault="00EB4B5A" w:rsidP="00EB4B5A">
      <w:pPr>
        <w:rPr>
          <w:sz w:val="24"/>
          <w:szCs w:val="24"/>
          <w:lang w:val="en-GB"/>
        </w:rPr>
      </w:pPr>
    </w:p>
    <w:p w14:paraId="7E33E843" w14:textId="286246DB" w:rsidR="00EB4B5A" w:rsidRDefault="00EB4B5A" w:rsidP="00EB4B5A">
      <w:pPr>
        <w:rPr>
          <w:sz w:val="24"/>
          <w:szCs w:val="24"/>
          <w:lang w:val="en-GB"/>
        </w:rPr>
      </w:pPr>
    </w:p>
    <w:p w14:paraId="5D45046B" w14:textId="3BC753F0" w:rsidR="00EB4B5A" w:rsidRDefault="00EB4B5A" w:rsidP="00EB4B5A">
      <w:pPr>
        <w:rPr>
          <w:sz w:val="24"/>
          <w:szCs w:val="24"/>
          <w:lang w:val="en-GB"/>
        </w:rPr>
      </w:pPr>
    </w:p>
    <w:p w14:paraId="68EBFA92" w14:textId="3FF8B1D1" w:rsidR="00EB4B5A" w:rsidRDefault="00EB4B5A" w:rsidP="00EB4B5A">
      <w:pPr>
        <w:rPr>
          <w:sz w:val="24"/>
          <w:szCs w:val="24"/>
          <w:lang w:val="en-GB"/>
        </w:rPr>
      </w:pPr>
    </w:p>
    <w:p w14:paraId="42CA85A7" w14:textId="6E7632A1" w:rsidR="00EB4B5A" w:rsidRDefault="00EB4B5A" w:rsidP="00EB4B5A">
      <w:pPr>
        <w:rPr>
          <w:sz w:val="24"/>
          <w:szCs w:val="24"/>
          <w:lang w:val="en-GB"/>
        </w:rPr>
      </w:pPr>
    </w:p>
    <w:p w14:paraId="3D2E4E9A" w14:textId="77777777" w:rsidR="00EB4B5A" w:rsidRDefault="00EB4B5A" w:rsidP="00EB4B5A">
      <w:pPr>
        <w:rPr>
          <w:sz w:val="24"/>
          <w:szCs w:val="24"/>
          <w:lang w:val="en-GB"/>
        </w:rPr>
        <w:sectPr w:rsidR="00EB4B5A">
          <w:footerReference w:type="default" r:id="rId9"/>
          <w:pgSz w:w="11906" w:h="16838"/>
          <w:pgMar w:top="1417" w:right="1701" w:bottom="1417" w:left="1701" w:header="708" w:footer="708" w:gutter="0"/>
          <w:cols w:space="708"/>
          <w:docGrid w:linePitch="360"/>
        </w:sectPr>
      </w:pPr>
    </w:p>
    <w:tbl>
      <w:tblPr>
        <w:tblStyle w:val="TableGrid3"/>
        <w:tblW w:w="0" w:type="auto"/>
        <w:tblLook w:val="04A0" w:firstRow="1" w:lastRow="0" w:firstColumn="1" w:lastColumn="0" w:noHBand="0" w:noVBand="1"/>
      </w:tblPr>
      <w:tblGrid>
        <w:gridCol w:w="2263"/>
        <w:gridCol w:w="2362"/>
        <w:gridCol w:w="2384"/>
        <w:gridCol w:w="2361"/>
        <w:gridCol w:w="2361"/>
        <w:gridCol w:w="2263"/>
      </w:tblGrid>
      <w:tr w:rsidR="00EB4B5A" w:rsidRPr="00EB4B5A" w14:paraId="7D88C31D" w14:textId="77777777" w:rsidTr="00365C12">
        <w:tc>
          <w:tcPr>
            <w:tcW w:w="13994" w:type="dxa"/>
            <w:gridSpan w:val="6"/>
          </w:tcPr>
          <w:p w14:paraId="672E7D46" w14:textId="77777777" w:rsidR="00EB4B5A" w:rsidRPr="00EB4B5A" w:rsidRDefault="00EB4B5A" w:rsidP="00EB4B5A">
            <w:pPr>
              <w:rPr>
                <w:b/>
                <w:bCs/>
                <w:lang w:val="en-GB"/>
              </w:rPr>
            </w:pPr>
            <w:bookmarkStart w:id="31" w:name="_Hlk62294930"/>
            <w:proofErr w:type="spellStart"/>
            <w:r w:rsidRPr="00EB4B5A">
              <w:rPr>
                <w:b/>
                <w:bCs/>
                <w:lang w:val="en-GB"/>
              </w:rPr>
              <w:lastRenderedPageBreak/>
              <w:t>eTable</w:t>
            </w:r>
            <w:proofErr w:type="spellEnd"/>
            <w:r w:rsidRPr="00EB4B5A">
              <w:rPr>
                <w:b/>
                <w:bCs/>
                <w:lang w:val="en-GB"/>
              </w:rPr>
              <w:t xml:space="preserve"> 3. Association between age of first exposure and heavy Internet use during weekends adjusted for control variables. </w:t>
            </w:r>
          </w:p>
        </w:tc>
      </w:tr>
      <w:tr w:rsidR="00EB4B5A" w:rsidRPr="00EB4B5A" w14:paraId="281125CF" w14:textId="77777777" w:rsidTr="00365C12">
        <w:tc>
          <w:tcPr>
            <w:tcW w:w="2263" w:type="dxa"/>
          </w:tcPr>
          <w:p w14:paraId="02B223D4" w14:textId="77777777" w:rsidR="00EB4B5A" w:rsidRPr="00EB4B5A" w:rsidRDefault="00EB4B5A" w:rsidP="00EB4B5A">
            <w:pPr>
              <w:rPr>
                <w:lang w:val="en-GB"/>
              </w:rPr>
            </w:pPr>
            <w:bookmarkStart w:id="32" w:name="_Hlk62293730"/>
          </w:p>
        </w:tc>
        <w:tc>
          <w:tcPr>
            <w:tcW w:w="2362" w:type="dxa"/>
          </w:tcPr>
          <w:p w14:paraId="07152BE6" w14:textId="77777777" w:rsidR="00EB4B5A" w:rsidRPr="00EB4B5A" w:rsidRDefault="00EB4B5A" w:rsidP="00EB4B5A">
            <w:pPr>
              <w:rPr>
                <w:lang w:val="en-GB"/>
              </w:rPr>
            </w:pPr>
            <w:r w:rsidRPr="00EB4B5A">
              <w:rPr>
                <w:lang w:val="en-GB"/>
              </w:rPr>
              <w:t>OR (95% IC)</w:t>
            </w:r>
          </w:p>
        </w:tc>
        <w:tc>
          <w:tcPr>
            <w:tcW w:w="2384" w:type="dxa"/>
          </w:tcPr>
          <w:p w14:paraId="5241CCA8" w14:textId="77777777" w:rsidR="00EB4B5A" w:rsidRPr="00EB4B5A" w:rsidRDefault="00EB4B5A" w:rsidP="00EB4B5A">
            <w:pPr>
              <w:rPr>
                <w:lang w:val="en-GB"/>
              </w:rPr>
            </w:pPr>
          </w:p>
        </w:tc>
        <w:tc>
          <w:tcPr>
            <w:tcW w:w="2361" w:type="dxa"/>
          </w:tcPr>
          <w:p w14:paraId="4155190C" w14:textId="77777777" w:rsidR="00EB4B5A" w:rsidRPr="00EB4B5A" w:rsidRDefault="00EB4B5A" w:rsidP="00EB4B5A">
            <w:pPr>
              <w:rPr>
                <w:lang w:val="en-GB"/>
              </w:rPr>
            </w:pPr>
          </w:p>
        </w:tc>
        <w:tc>
          <w:tcPr>
            <w:tcW w:w="2361" w:type="dxa"/>
          </w:tcPr>
          <w:p w14:paraId="78AEAB9C" w14:textId="77777777" w:rsidR="00EB4B5A" w:rsidRPr="00EB4B5A" w:rsidRDefault="00EB4B5A" w:rsidP="00EB4B5A">
            <w:pPr>
              <w:rPr>
                <w:lang w:val="en-GB"/>
              </w:rPr>
            </w:pPr>
          </w:p>
        </w:tc>
        <w:tc>
          <w:tcPr>
            <w:tcW w:w="2263" w:type="dxa"/>
          </w:tcPr>
          <w:p w14:paraId="5FFA8019" w14:textId="77777777" w:rsidR="00EB4B5A" w:rsidRPr="00EB4B5A" w:rsidRDefault="00EB4B5A" w:rsidP="00EB4B5A">
            <w:pPr>
              <w:rPr>
                <w:lang w:val="en-GB"/>
              </w:rPr>
            </w:pPr>
          </w:p>
        </w:tc>
      </w:tr>
      <w:tr w:rsidR="00EB4B5A" w:rsidRPr="00EB4B5A" w14:paraId="1A903B8B" w14:textId="77777777" w:rsidTr="00365C12">
        <w:tc>
          <w:tcPr>
            <w:tcW w:w="2263" w:type="dxa"/>
          </w:tcPr>
          <w:p w14:paraId="34E4512A" w14:textId="77777777" w:rsidR="00EB4B5A" w:rsidRPr="00EB4B5A" w:rsidRDefault="00EB4B5A" w:rsidP="00EB4B5A">
            <w:pPr>
              <w:rPr>
                <w:lang w:val="en-GB"/>
              </w:rPr>
            </w:pPr>
          </w:p>
        </w:tc>
        <w:tc>
          <w:tcPr>
            <w:tcW w:w="2362" w:type="dxa"/>
          </w:tcPr>
          <w:p w14:paraId="360A7F5E" w14:textId="77777777" w:rsidR="00EB4B5A" w:rsidRPr="00EB4B5A" w:rsidRDefault="00EB4B5A" w:rsidP="00EB4B5A">
            <w:pPr>
              <w:rPr>
                <w:lang w:val="en-GB"/>
              </w:rPr>
            </w:pPr>
            <w:r w:rsidRPr="00EB4B5A">
              <w:rPr>
                <w:lang w:val="en-GB"/>
              </w:rPr>
              <w:t>3 years or less</w:t>
            </w:r>
          </w:p>
        </w:tc>
        <w:tc>
          <w:tcPr>
            <w:tcW w:w="2384" w:type="dxa"/>
          </w:tcPr>
          <w:p w14:paraId="4BC4FB16" w14:textId="77777777" w:rsidR="00EB4B5A" w:rsidRPr="00EB4B5A" w:rsidRDefault="00EB4B5A" w:rsidP="00EB4B5A">
            <w:pPr>
              <w:rPr>
                <w:lang w:val="en-GB"/>
              </w:rPr>
            </w:pPr>
            <w:r w:rsidRPr="00EB4B5A">
              <w:rPr>
                <w:lang w:val="en-GB"/>
              </w:rPr>
              <w:t>4-6 years</w:t>
            </w:r>
          </w:p>
        </w:tc>
        <w:tc>
          <w:tcPr>
            <w:tcW w:w="2361" w:type="dxa"/>
          </w:tcPr>
          <w:p w14:paraId="5EE14ED6" w14:textId="77777777" w:rsidR="00EB4B5A" w:rsidRPr="00EB4B5A" w:rsidRDefault="00EB4B5A" w:rsidP="00EB4B5A">
            <w:pPr>
              <w:rPr>
                <w:lang w:val="en-GB"/>
              </w:rPr>
            </w:pPr>
            <w:r w:rsidRPr="00EB4B5A">
              <w:rPr>
                <w:lang w:val="en-GB"/>
              </w:rPr>
              <w:t>7-9 years</w:t>
            </w:r>
          </w:p>
        </w:tc>
        <w:tc>
          <w:tcPr>
            <w:tcW w:w="2361" w:type="dxa"/>
          </w:tcPr>
          <w:p w14:paraId="049A4B67" w14:textId="77777777" w:rsidR="00EB4B5A" w:rsidRPr="00EB4B5A" w:rsidRDefault="00EB4B5A" w:rsidP="00EB4B5A">
            <w:pPr>
              <w:rPr>
                <w:lang w:val="en-GB"/>
              </w:rPr>
            </w:pPr>
            <w:r w:rsidRPr="00EB4B5A">
              <w:rPr>
                <w:lang w:val="en-GB"/>
              </w:rPr>
              <w:t>10-12 years</w:t>
            </w:r>
          </w:p>
        </w:tc>
        <w:tc>
          <w:tcPr>
            <w:tcW w:w="2263" w:type="dxa"/>
          </w:tcPr>
          <w:p w14:paraId="2E4B51DC" w14:textId="77777777" w:rsidR="00EB4B5A" w:rsidRPr="00EB4B5A" w:rsidRDefault="00EB4B5A" w:rsidP="00EB4B5A">
            <w:pPr>
              <w:rPr>
                <w:lang w:val="en-GB"/>
              </w:rPr>
            </w:pPr>
            <w:r w:rsidRPr="00EB4B5A">
              <w:rPr>
                <w:lang w:val="en-GB"/>
              </w:rPr>
              <w:t>13 years or older</w:t>
            </w:r>
          </w:p>
        </w:tc>
      </w:tr>
      <w:tr w:rsidR="00EB4B5A" w:rsidRPr="00EB4B5A" w14:paraId="0C0174B6" w14:textId="77777777" w:rsidTr="00365C12">
        <w:tc>
          <w:tcPr>
            <w:tcW w:w="2263" w:type="dxa"/>
          </w:tcPr>
          <w:p w14:paraId="2A48F613" w14:textId="77777777" w:rsidR="00EB4B5A" w:rsidRPr="00EB4B5A" w:rsidRDefault="00EB4B5A" w:rsidP="00EB4B5A">
            <w:pPr>
              <w:rPr>
                <w:lang w:val="en-GB"/>
              </w:rPr>
            </w:pPr>
            <w:r w:rsidRPr="00EB4B5A">
              <w:rPr>
                <w:lang w:val="en-GB"/>
              </w:rPr>
              <w:t>Overall</w:t>
            </w:r>
          </w:p>
        </w:tc>
        <w:tc>
          <w:tcPr>
            <w:tcW w:w="2362" w:type="dxa"/>
          </w:tcPr>
          <w:p w14:paraId="4C1501AE" w14:textId="77777777" w:rsidR="00EB4B5A" w:rsidRPr="00EB4B5A" w:rsidRDefault="00EB4B5A" w:rsidP="00EB4B5A">
            <w:pPr>
              <w:rPr>
                <w:lang w:val="en-GB"/>
              </w:rPr>
            </w:pPr>
            <w:r w:rsidRPr="00EB4B5A">
              <w:rPr>
                <w:lang w:val="en-GB"/>
              </w:rPr>
              <w:t>ref</w:t>
            </w:r>
          </w:p>
        </w:tc>
        <w:tc>
          <w:tcPr>
            <w:tcW w:w="2384" w:type="dxa"/>
          </w:tcPr>
          <w:p w14:paraId="5CEE54B0" w14:textId="77777777" w:rsidR="00EB4B5A" w:rsidRPr="00EB4B5A" w:rsidRDefault="00EB4B5A" w:rsidP="00EB4B5A">
            <w:pPr>
              <w:rPr>
                <w:lang w:val="en-GB"/>
              </w:rPr>
            </w:pPr>
            <w:r w:rsidRPr="00EB4B5A">
              <w:rPr>
                <w:lang w:val="en-GB"/>
              </w:rPr>
              <w:t>1.18 (1.05-1.34)</w:t>
            </w:r>
          </w:p>
        </w:tc>
        <w:tc>
          <w:tcPr>
            <w:tcW w:w="2361" w:type="dxa"/>
          </w:tcPr>
          <w:p w14:paraId="3E33D408" w14:textId="77777777" w:rsidR="00EB4B5A" w:rsidRPr="00EB4B5A" w:rsidRDefault="00EB4B5A" w:rsidP="00EB4B5A">
            <w:pPr>
              <w:rPr>
                <w:lang w:val="en-GB"/>
              </w:rPr>
            </w:pPr>
            <w:r w:rsidRPr="00EB4B5A">
              <w:rPr>
                <w:lang w:val="en-GB"/>
              </w:rPr>
              <w:t>0.91 (0.81-1.01)</w:t>
            </w:r>
          </w:p>
        </w:tc>
        <w:tc>
          <w:tcPr>
            <w:tcW w:w="2361" w:type="dxa"/>
          </w:tcPr>
          <w:p w14:paraId="655A068E" w14:textId="77777777" w:rsidR="00EB4B5A" w:rsidRPr="00EB4B5A" w:rsidRDefault="00EB4B5A" w:rsidP="00EB4B5A">
            <w:pPr>
              <w:rPr>
                <w:lang w:val="en-GB"/>
              </w:rPr>
            </w:pPr>
            <w:r w:rsidRPr="00EB4B5A">
              <w:rPr>
                <w:lang w:val="en-GB"/>
              </w:rPr>
              <w:t>0.57 (0.51-0.63)</w:t>
            </w:r>
          </w:p>
        </w:tc>
        <w:tc>
          <w:tcPr>
            <w:tcW w:w="2263" w:type="dxa"/>
          </w:tcPr>
          <w:p w14:paraId="49BA52A6" w14:textId="77777777" w:rsidR="00EB4B5A" w:rsidRPr="00EB4B5A" w:rsidRDefault="00EB4B5A" w:rsidP="00EB4B5A">
            <w:pPr>
              <w:rPr>
                <w:lang w:val="en-GB"/>
              </w:rPr>
            </w:pPr>
            <w:r w:rsidRPr="00EB4B5A">
              <w:rPr>
                <w:lang w:val="en-GB"/>
              </w:rPr>
              <w:t>0.26 (0.23-0.30)</w:t>
            </w:r>
          </w:p>
        </w:tc>
      </w:tr>
      <w:tr w:rsidR="00EB4B5A" w:rsidRPr="00EB4B5A" w14:paraId="6D52E9AF" w14:textId="77777777" w:rsidTr="00365C12">
        <w:tc>
          <w:tcPr>
            <w:tcW w:w="2263" w:type="dxa"/>
          </w:tcPr>
          <w:p w14:paraId="2EE72BC1" w14:textId="77777777" w:rsidR="00EB4B5A" w:rsidRPr="00EB4B5A" w:rsidRDefault="00EB4B5A" w:rsidP="00EB4B5A">
            <w:pPr>
              <w:rPr>
                <w:lang w:val="en-GB"/>
              </w:rPr>
            </w:pPr>
            <w:r w:rsidRPr="00EB4B5A">
              <w:rPr>
                <w:lang w:val="en-GB"/>
              </w:rPr>
              <w:t>Sex</w:t>
            </w:r>
          </w:p>
        </w:tc>
        <w:tc>
          <w:tcPr>
            <w:tcW w:w="2362" w:type="dxa"/>
          </w:tcPr>
          <w:p w14:paraId="75866972" w14:textId="77777777" w:rsidR="00EB4B5A" w:rsidRPr="00EB4B5A" w:rsidRDefault="00EB4B5A" w:rsidP="00EB4B5A">
            <w:pPr>
              <w:rPr>
                <w:lang w:val="en-GB"/>
              </w:rPr>
            </w:pPr>
            <w:r w:rsidRPr="00EB4B5A">
              <w:rPr>
                <w:lang w:val="en-GB"/>
              </w:rPr>
              <w:t>ref</w:t>
            </w:r>
          </w:p>
        </w:tc>
        <w:tc>
          <w:tcPr>
            <w:tcW w:w="2384" w:type="dxa"/>
          </w:tcPr>
          <w:p w14:paraId="40882E8E" w14:textId="77777777" w:rsidR="00EB4B5A" w:rsidRPr="00EB4B5A" w:rsidRDefault="00EB4B5A" w:rsidP="00EB4B5A">
            <w:pPr>
              <w:rPr>
                <w:lang w:val="en-GB"/>
              </w:rPr>
            </w:pPr>
            <w:r w:rsidRPr="00EB4B5A">
              <w:rPr>
                <w:lang w:val="en-GB"/>
              </w:rPr>
              <w:t>1.16 (1.03-1.32)</w:t>
            </w:r>
          </w:p>
        </w:tc>
        <w:tc>
          <w:tcPr>
            <w:tcW w:w="2361" w:type="dxa"/>
          </w:tcPr>
          <w:p w14:paraId="436EC60B" w14:textId="77777777" w:rsidR="00EB4B5A" w:rsidRPr="00EB4B5A" w:rsidRDefault="00EB4B5A" w:rsidP="00EB4B5A">
            <w:pPr>
              <w:rPr>
                <w:lang w:val="en-GB"/>
              </w:rPr>
            </w:pPr>
            <w:r w:rsidRPr="00EB4B5A">
              <w:rPr>
                <w:lang w:val="en-GB"/>
              </w:rPr>
              <w:t>0.88 (0.79-0.99)</w:t>
            </w:r>
          </w:p>
        </w:tc>
        <w:tc>
          <w:tcPr>
            <w:tcW w:w="2361" w:type="dxa"/>
          </w:tcPr>
          <w:p w14:paraId="0BB06047" w14:textId="77777777" w:rsidR="00EB4B5A" w:rsidRPr="00EB4B5A" w:rsidRDefault="00EB4B5A" w:rsidP="00EB4B5A">
            <w:pPr>
              <w:rPr>
                <w:lang w:val="en-GB"/>
              </w:rPr>
            </w:pPr>
            <w:r w:rsidRPr="00EB4B5A">
              <w:rPr>
                <w:lang w:val="en-GB"/>
              </w:rPr>
              <w:t>0.55(0.49-0.62)</w:t>
            </w:r>
          </w:p>
        </w:tc>
        <w:tc>
          <w:tcPr>
            <w:tcW w:w="2263" w:type="dxa"/>
          </w:tcPr>
          <w:p w14:paraId="086A33D3" w14:textId="77777777" w:rsidR="00EB4B5A" w:rsidRPr="00EB4B5A" w:rsidRDefault="00EB4B5A" w:rsidP="00EB4B5A">
            <w:pPr>
              <w:rPr>
                <w:lang w:val="en-GB"/>
              </w:rPr>
            </w:pPr>
            <w:r w:rsidRPr="00EB4B5A">
              <w:rPr>
                <w:lang w:val="en-GB"/>
              </w:rPr>
              <w:t>0.26 (0.23-0.29)</w:t>
            </w:r>
          </w:p>
        </w:tc>
      </w:tr>
      <w:tr w:rsidR="00EB4B5A" w:rsidRPr="00EB4B5A" w14:paraId="512BB706" w14:textId="77777777" w:rsidTr="00365C12">
        <w:tc>
          <w:tcPr>
            <w:tcW w:w="2263" w:type="dxa"/>
          </w:tcPr>
          <w:p w14:paraId="20DBDC15" w14:textId="77777777" w:rsidR="00EB4B5A" w:rsidRPr="00EB4B5A" w:rsidRDefault="00EB4B5A" w:rsidP="00EB4B5A">
            <w:pPr>
              <w:rPr>
                <w:lang w:val="en-GB"/>
              </w:rPr>
            </w:pPr>
            <w:r w:rsidRPr="00EB4B5A">
              <w:rPr>
                <w:lang w:val="en-GB"/>
              </w:rPr>
              <w:t>Socioeconomic status</w:t>
            </w:r>
          </w:p>
        </w:tc>
        <w:tc>
          <w:tcPr>
            <w:tcW w:w="2362" w:type="dxa"/>
          </w:tcPr>
          <w:p w14:paraId="2D96CEB2" w14:textId="77777777" w:rsidR="00EB4B5A" w:rsidRPr="00EB4B5A" w:rsidRDefault="00EB4B5A" w:rsidP="00EB4B5A">
            <w:pPr>
              <w:rPr>
                <w:lang w:val="en-GB"/>
              </w:rPr>
            </w:pPr>
            <w:r w:rsidRPr="00EB4B5A">
              <w:rPr>
                <w:lang w:val="en-GB"/>
              </w:rPr>
              <w:t>ref</w:t>
            </w:r>
          </w:p>
        </w:tc>
        <w:tc>
          <w:tcPr>
            <w:tcW w:w="2384" w:type="dxa"/>
          </w:tcPr>
          <w:p w14:paraId="0D845DEE" w14:textId="77777777" w:rsidR="00EB4B5A" w:rsidRPr="00EB4B5A" w:rsidRDefault="00EB4B5A" w:rsidP="00EB4B5A">
            <w:pPr>
              <w:rPr>
                <w:lang w:val="en-GB"/>
              </w:rPr>
            </w:pPr>
            <w:r w:rsidRPr="00EB4B5A">
              <w:rPr>
                <w:lang w:val="en-GB"/>
              </w:rPr>
              <w:t>1.23 (1.08-1.38)</w:t>
            </w:r>
          </w:p>
        </w:tc>
        <w:tc>
          <w:tcPr>
            <w:tcW w:w="2361" w:type="dxa"/>
          </w:tcPr>
          <w:p w14:paraId="2A143014" w14:textId="77777777" w:rsidR="00EB4B5A" w:rsidRPr="00EB4B5A" w:rsidRDefault="00EB4B5A" w:rsidP="00EB4B5A">
            <w:pPr>
              <w:rPr>
                <w:lang w:val="en-GB"/>
              </w:rPr>
            </w:pPr>
            <w:r w:rsidRPr="00EB4B5A">
              <w:rPr>
                <w:lang w:val="en-GB"/>
              </w:rPr>
              <w:t>1.01 (0.90-1.13)</w:t>
            </w:r>
          </w:p>
        </w:tc>
        <w:tc>
          <w:tcPr>
            <w:tcW w:w="2361" w:type="dxa"/>
          </w:tcPr>
          <w:p w14:paraId="63854714" w14:textId="77777777" w:rsidR="00EB4B5A" w:rsidRPr="00EB4B5A" w:rsidRDefault="00EB4B5A" w:rsidP="00EB4B5A">
            <w:pPr>
              <w:rPr>
                <w:lang w:val="en-GB"/>
              </w:rPr>
            </w:pPr>
            <w:r w:rsidRPr="00EB4B5A">
              <w:rPr>
                <w:lang w:val="en-GB"/>
              </w:rPr>
              <w:t>0.70 (0.62-0.79)</w:t>
            </w:r>
          </w:p>
        </w:tc>
        <w:tc>
          <w:tcPr>
            <w:tcW w:w="2263" w:type="dxa"/>
          </w:tcPr>
          <w:p w14:paraId="0B04C5FA" w14:textId="77777777" w:rsidR="00EB4B5A" w:rsidRPr="00EB4B5A" w:rsidRDefault="00EB4B5A" w:rsidP="00EB4B5A">
            <w:pPr>
              <w:rPr>
                <w:lang w:val="en-GB"/>
              </w:rPr>
            </w:pPr>
            <w:r w:rsidRPr="00EB4B5A">
              <w:rPr>
                <w:lang w:val="en-GB"/>
              </w:rPr>
              <w:t>0.38 (0.34-0.43)</w:t>
            </w:r>
          </w:p>
        </w:tc>
      </w:tr>
      <w:tr w:rsidR="00EB4B5A" w:rsidRPr="00EB4B5A" w14:paraId="1CD57E07" w14:textId="77777777" w:rsidTr="00365C12">
        <w:tc>
          <w:tcPr>
            <w:tcW w:w="2263" w:type="dxa"/>
          </w:tcPr>
          <w:p w14:paraId="15194BA8" w14:textId="77777777" w:rsidR="00EB4B5A" w:rsidRPr="00EB4B5A" w:rsidRDefault="00EB4B5A" w:rsidP="00EB4B5A">
            <w:pPr>
              <w:rPr>
                <w:lang w:val="en-GB"/>
              </w:rPr>
            </w:pPr>
            <w:r w:rsidRPr="00EB4B5A">
              <w:rPr>
                <w:lang w:val="en-GB"/>
              </w:rPr>
              <w:t>Country</w:t>
            </w:r>
          </w:p>
        </w:tc>
        <w:tc>
          <w:tcPr>
            <w:tcW w:w="2362" w:type="dxa"/>
          </w:tcPr>
          <w:p w14:paraId="067823C8" w14:textId="77777777" w:rsidR="00EB4B5A" w:rsidRPr="00EB4B5A" w:rsidRDefault="00EB4B5A" w:rsidP="00EB4B5A">
            <w:pPr>
              <w:rPr>
                <w:lang w:val="en-GB"/>
              </w:rPr>
            </w:pPr>
            <w:r w:rsidRPr="00EB4B5A">
              <w:rPr>
                <w:lang w:val="en-GB"/>
              </w:rPr>
              <w:t>ref</w:t>
            </w:r>
          </w:p>
        </w:tc>
        <w:tc>
          <w:tcPr>
            <w:tcW w:w="2384" w:type="dxa"/>
          </w:tcPr>
          <w:p w14:paraId="4A016887" w14:textId="77777777" w:rsidR="00EB4B5A" w:rsidRPr="00EB4B5A" w:rsidRDefault="00EB4B5A" w:rsidP="00EB4B5A">
            <w:pPr>
              <w:rPr>
                <w:lang w:val="en-GB"/>
              </w:rPr>
            </w:pPr>
            <w:r w:rsidRPr="00EB4B5A">
              <w:rPr>
                <w:lang w:val="en-GB"/>
              </w:rPr>
              <w:t>1.19 (1.05-1.34)</w:t>
            </w:r>
          </w:p>
        </w:tc>
        <w:tc>
          <w:tcPr>
            <w:tcW w:w="2361" w:type="dxa"/>
          </w:tcPr>
          <w:p w14:paraId="3313D7B7" w14:textId="77777777" w:rsidR="00EB4B5A" w:rsidRPr="00EB4B5A" w:rsidRDefault="00EB4B5A" w:rsidP="00EB4B5A">
            <w:pPr>
              <w:rPr>
                <w:lang w:val="en-GB"/>
              </w:rPr>
            </w:pPr>
            <w:r w:rsidRPr="00EB4B5A">
              <w:rPr>
                <w:lang w:val="en-GB"/>
              </w:rPr>
              <w:t>0.92 (0.82-1.03)</w:t>
            </w:r>
          </w:p>
        </w:tc>
        <w:tc>
          <w:tcPr>
            <w:tcW w:w="2361" w:type="dxa"/>
          </w:tcPr>
          <w:p w14:paraId="1B4744B3" w14:textId="77777777" w:rsidR="00EB4B5A" w:rsidRPr="00EB4B5A" w:rsidRDefault="00EB4B5A" w:rsidP="00EB4B5A">
            <w:pPr>
              <w:rPr>
                <w:lang w:val="en-GB"/>
              </w:rPr>
            </w:pPr>
            <w:r w:rsidRPr="00EB4B5A">
              <w:rPr>
                <w:lang w:val="en-GB"/>
              </w:rPr>
              <w:t>0.58 (0.52-0.65)</w:t>
            </w:r>
          </w:p>
        </w:tc>
        <w:tc>
          <w:tcPr>
            <w:tcW w:w="2263" w:type="dxa"/>
          </w:tcPr>
          <w:p w14:paraId="182349DE" w14:textId="77777777" w:rsidR="00EB4B5A" w:rsidRPr="00EB4B5A" w:rsidRDefault="00EB4B5A" w:rsidP="00EB4B5A">
            <w:pPr>
              <w:rPr>
                <w:lang w:val="en-GB"/>
              </w:rPr>
            </w:pPr>
            <w:r w:rsidRPr="00EB4B5A">
              <w:rPr>
                <w:lang w:val="en-GB"/>
              </w:rPr>
              <w:t>0.28 (0.25-0.31)</w:t>
            </w:r>
          </w:p>
        </w:tc>
      </w:tr>
      <w:bookmarkEnd w:id="31"/>
      <w:bookmarkEnd w:id="32"/>
    </w:tbl>
    <w:p w14:paraId="478137F5" w14:textId="455084BF" w:rsidR="00EB4B5A" w:rsidRDefault="00EB4B5A" w:rsidP="00EB4B5A">
      <w:pPr>
        <w:rPr>
          <w:sz w:val="24"/>
          <w:szCs w:val="24"/>
          <w:lang w:val="en-GB"/>
        </w:rPr>
      </w:pPr>
    </w:p>
    <w:p w14:paraId="3D0161B0" w14:textId="676F6E94" w:rsidR="00EB4B5A" w:rsidRDefault="00EB4B5A" w:rsidP="00EB4B5A">
      <w:pPr>
        <w:rPr>
          <w:sz w:val="24"/>
          <w:szCs w:val="24"/>
          <w:lang w:val="en-GB"/>
        </w:rPr>
      </w:pPr>
    </w:p>
    <w:p w14:paraId="38F22218" w14:textId="3C12D600" w:rsidR="00EB4B5A" w:rsidRDefault="00EB4B5A" w:rsidP="00EB4B5A">
      <w:pPr>
        <w:rPr>
          <w:sz w:val="24"/>
          <w:szCs w:val="24"/>
          <w:lang w:val="en-GB"/>
        </w:rPr>
      </w:pPr>
    </w:p>
    <w:p w14:paraId="39A88B54" w14:textId="11F5DA61" w:rsidR="00EB4B5A" w:rsidRDefault="00EB4B5A" w:rsidP="00EB4B5A">
      <w:pPr>
        <w:rPr>
          <w:sz w:val="24"/>
          <w:szCs w:val="24"/>
          <w:lang w:val="en-GB"/>
        </w:rPr>
      </w:pPr>
    </w:p>
    <w:p w14:paraId="1FC76BF2" w14:textId="4084D8F0" w:rsidR="00EB4B5A" w:rsidRDefault="00EB4B5A" w:rsidP="00EB4B5A">
      <w:pPr>
        <w:rPr>
          <w:sz w:val="24"/>
          <w:szCs w:val="24"/>
          <w:lang w:val="en-GB"/>
        </w:rPr>
      </w:pPr>
    </w:p>
    <w:p w14:paraId="4383479A" w14:textId="1E5EC5AD" w:rsidR="00EB4B5A" w:rsidRDefault="00EB4B5A" w:rsidP="00EB4B5A">
      <w:pPr>
        <w:rPr>
          <w:sz w:val="24"/>
          <w:szCs w:val="24"/>
          <w:lang w:val="en-GB"/>
        </w:rPr>
      </w:pPr>
    </w:p>
    <w:p w14:paraId="34D23273" w14:textId="7EE62CE1" w:rsidR="00EB4B5A" w:rsidRDefault="00EB4B5A" w:rsidP="00EB4B5A">
      <w:pPr>
        <w:rPr>
          <w:sz w:val="24"/>
          <w:szCs w:val="24"/>
          <w:lang w:val="en-GB"/>
        </w:rPr>
      </w:pPr>
    </w:p>
    <w:p w14:paraId="5F54C266" w14:textId="51B2BD43" w:rsidR="00EB4B5A" w:rsidRDefault="00EB4B5A" w:rsidP="00EB4B5A">
      <w:pPr>
        <w:rPr>
          <w:sz w:val="24"/>
          <w:szCs w:val="24"/>
          <w:lang w:val="en-GB"/>
        </w:rPr>
      </w:pPr>
    </w:p>
    <w:p w14:paraId="511396FE" w14:textId="77947E70" w:rsidR="00EB4B5A" w:rsidRDefault="00EB4B5A" w:rsidP="00EB4B5A">
      <w:pPr>
        <w:rPr>
          <w:sz w:val="24"/>
          <w:szCs w:val="24"/>
          <w:lang w:val="en-GB"/>
        </w:rPr>
      </w:pPr>
    </w:p>
    <w:p w14:paraId="16C38BAC" w14:textId="66D1F80F" w:rsidR="00EB4B5A" w:rsidRDefault="00EB4B5A" w:rsidP="00EB4B5A">
      <w:pPr>
        <w:rPr>
          <w:sz w:val="24"/>
          <w:szCs w:val="24"/>
          <w:lang w:val="en-GB"/>
        </w:rPr>
      </w:pPr>
    </w:p>
    <w:p w14:paraId="20264898" w14:textId="77BBAD55" w:rsidR="00EB4B5A" w:rsidRDefault="00EB4B5A" w:rsidP="00EB4B5A">
      <w:pPr>
        <w:rPr>
          <w:sz w:val="24"/>
          <w:szCs w:val="24"/>
          <w:lang w:val="en-GB"/>
        </w:rPr>
      </w:pPr>
    </w:p>
    <w:p w14:paraId="75F585F8" w14:textId="6721711B" w:rsidR="00EB4B5A" w:rsidRDefault="00EB4B5A" w:rsidP="00EB4B5A">
      <w:pPr>
        <w:rPr>
          <w:sz w:val="24"/>
          <w:szCs w:val="24"/>
          <w:lang w:val="en-GB"/>
        </w:rPr>
      </w:pPr>
    </w:p>
    <w:p w14:paraId="08FCF5F3" w14:textId="6B741649" w:rsidR="00EB4B5A" w:rsidRDefault="00EB4B5A" w:rsidP="00EB4B5A">
      <w:pPr>
        <w:rPr>
          <w:sz w:val="24"/>
          <w:szCs w:val="24"/>
          <w:lang w:val="en-GB"/>
        </w:rPr>
      </w:pPr>
    </w:p>
    <w:p w14:paraId="5F87D266" w14:textId="789F71D6" w:rsidR="00EB4B5A" w:rsidRDefault="00EB4B5A" w:rsidP="00EB4B5A">
      <w:pPr>
        <w:rPr>
          <w:sz w:val="24"/>
          <w:szCs w:val="24"/>
          <w:lang w:val="en-GB"/>
        </w:rPr>
      </w:pPr>
    </w:p>
    <w:tbl>
      <w:tblPr>
        <w:tblStyle w:val="TableGrid4"/>
        <w:tblW w:w="0" w:type="auto"/>
        <w:tblLook w:val="04A0" w:firstRow="1" w:lastRow="0" w:firstColumn="1" w:lastColumn="0" w:noHBand="0" w:noVBand="1"/>
      </w:tblPr>
      <w:tblGrid>
        <w:gridCol w:w="2263"/>
        <w:gridCol w:w="2362"/>
        <w:gridCol w:w="2384"/>
        <w:gridCol w:w="2361"/>
        <w:gridCol w:w="2361"/>
        <w:gridCol w:w="2263"/>
      </w:tblGrid>
      <w:tr w:rsidR="00EB4B5A" w:rsidRPr="00EB4B5A" w14:paraId="728EAFB9" w14:textId="77777777" w:rsidTr="00365C12">
        <w:tc>
          <w:tcPr>
            <w:tcW w:w="13994" w:type="dxa"/>
            <w:gridSpan w:val="6"/>
          </w:tcPr>
          <w:p w14:paraId="583E8C06" w14:textId="77777777" w:rsidR="00EB4B5A" w:rsidRPr="00EB4B5A" w:rsidRDefault="00EB4B5A" w:rsidP="00EB4B5A">
            <w:pPr>
              <w:rPr>
                <w:b/>
                <w:bCs/>
                <w:lang w:val="en-GB"/>
              </w:rPr>
            </w:pPr>
            <w:proofErr w:type="spellStart"/>
            <w:r w:rsidRPr="00EB4B5A">
              <w:rPr>
                <w:b/>
                <w:bCs/>
                <w:lang w:val="en-GB"/>
              </w:rPr>
              <w:lastRenderedPageBreak/>
              <w:t>eTable</w:t>
            </w:r>
            <w:proofErr w:type="spellEnd"/>
            <w:r w:rsidRPr="00EB4B5A">
              <w:rPr>
                <w:b/>
                <w:bCs/>
                <w:lang w:val="en-GB"/>
              </w:rPr>
              <w:t xml:space="preserve"> 4. Association between age of first exposure and heavy Internet use during weekdays adjusted for control variables.</w:t>
            </w:r>
          </w:p>
        </w:tc>
      </w:tr>
      <w:tr w:rsidR="00EB4B5A" w:rsidRPr="00EB4B5A" w14:paraId="76C96E7F" w14:textId="77777777" w:rsidTr="00365C12">
        <w:tc>
          <w:tcPr>
            <w:tcW w:w="2263" w:type="dxa"/>
          </w:tcPr>
          <w:p w14:paraId="66F83B79" w14:textId="77777777" w:rsidR="00EB4B5A" w:rsidRPr="00EB4B5A" w:rsidRDefault="00EB4B5A" w:rsidP="00EB4B5A">
            <w:pPr>
              <w:rPr>
                <w:lang w:val="en-GB"/>
              </w:rPr>
            </w:pPr>
          </w:p>
        </w:tc>
        <w:tc>
          <w:tcPr>
            <w:tcW w:w="2362" w:type="dxa"/>
          </w:tcPr>
          <w:p w14:paraId="5C0E871E" w14:textId="77777777" w:rsidR="00EB4B5A" w:rsidRPr="00EB4B5A" w:rsidRDefault="00EB4B5A" w:rsidP="00EB4B5A">
            <w:pPr>
              <w:rPr>
                <w:lang w:val="en-GB"/>
              </w:rPr>
            </w:pPr>
            <w:r w:rsidRPr="00EB4B5A">
              <w:rPr>
                <w:lang w:val="en-GB"/>
              </w:rPr>
              <w:t>OR (95% IC)</w:t>
            </w:r>
          </w:p>
        </w:tc>
        <w:tc>
          <w:tcPr>
            <w:tcW w:w="2384" w:type="dxa"/>
          </w:tcPr>
          <w:p w14:paraId="346274E6" w14:textId="77777777" w:rsidR="00EB4B5A" w:rsidRPr="00EB4B5A" w:rsidRDefault="00EB4B5A" w:rsidP="00EB4B5A">
            <w:pPr>
              <w:rPr>
                <w:lang w:val="en-GB"/>
              </w:rPr>
            </w:pPr>
          </w:p>
        </w:tc>
        <w:tc>
          <w:tcPr>
            <w:tcW w:w="2361" w:type="dxa"/>
          </w:tcPr>
          <w:p w14:paraId="402B5DB7" w14:textId="77777777" w:rsidR="00EB4B5A" w:rsidRPr="00EB4B5A" w:rsidRDefault="00EB4B5A" w:rsidP="00EB4B5A">
            <w:pPr>
              <w:rPr>
                <w:lang w:val="en-GB"/>
              </w:rPr>
            </w:pPr>
          </w:p>
        </w:tc>
        <w:tc>
          <w:tcPr>
            <w:tcW w:w="2361" w:type="dxa"/>
          </w:tcPr>
          <w:p w14:paraId="5AB71E3B" w14:textId="77777777" w:rsidR="00EB4B5A" w:rsidRPr="00EB4B5A" w:rsidRDefault="00EB4B5A" w:rsidP="00EB4B5A">
            <w:pPr>
              <w:rPr>
                <w:lang w:val="en-GB"/>
              </w:rPr>
            </w:pPr>
          </w:p>
        </w:tc>
        <w:tc>
          <w:tcPr>
            <w:tcW w:w="2263" w:type="dxa"/>
          </w:tcPr>
          <w:p w14:paraId="3E0F94BA" w14:textId="77777777" w:rsidR="00EB4B5A" w:rsidRPr="00EB4B5A" w:rsidRDefault="00EB4B5A" w:rsidP="00EB4B5A">
            <w:pPr>
              <w:rPr>
                <w:lang w:val="en-GB"/>
              </w:rPr>
            </w:pPr>
          </w:p>
        </w:tc>
      </w:tr>
      <w:tr w:rsidR="00EB4B5A" w:rsidRPr="00EB4B5A" w14:paraId="3AE1B54E" w14:textId="77777777" w:rsidTr="00365C12">
        <w:tc>
          <w:tcPr>
            <w:tcW w:w="2263" w:type="dxa"/>
          </w:tcPr>
          <w:p w14:paraId="28A0F08E" w14:textId="77777777" w:rsidR="00EB4B5A" w:rsidRPr="00EB4B5A" w:rsidRDefault="00EB4B5A" w:rsidP="00EB4B5A">
            <w:pPr>
              <w:rPr>
                <w:lang w:val="en-GB"/>
              </w:rPr>
            </w:pPr>
          </w:p>
        </w:tc>
        <w:tc>
          <w:tcPr>
            <w:tcW w:w="2362" w:type="dxa"/>
          </w:tcPr>
          <w:p w14:paraId="41393926" w14:textId="77777777" w:rsidR="00EB4B5A" w:rsidRPr="00EB4B5A" w:rsidRDefault="00EB4B5A" w:rsidP="00EB4B5A">
            <w:pPr>
              <w:rPr>
                <w:lang w:val="en-GB"/>
              </w:rPr>
            </w:pPr>
            <w:r w:rsidRPr="00EB4B5A">
              <w:rPr>
                <w:lang w:val="en-GB"/>
              </w:rPr>
              <w:t>3 years or less</w:t>
            </w:r>
          </w:p>
        </w:tc>
        <w:tc>
          <w:tcPr>
            <w:tcW w:w="2384" w:type="dxa"/>
          </w:tcPr>
          <w:p w14:paraId="4B523E2C" w14:textId="77777777" w:rsidR="00EB4B5A" w:rsidRPr="00EB4B5A" w:rsidRDefault="00EB4B5A" w:rsidP="00EB4B5A">
            <w:pPr>
              <w:rPr>
                <w:lang w:val="en-GB"/>
              </w:rPr>
            </w:pPr>
            <w:r w:rsidRPr="00EB4B5A">
              <w:rPr>
                <w:lang w:val="en-GB"/>
              </w:rPr>
              <w:t>4-6 years</w:t>
            </w:r>
          </w:p>
        </w:tc>
        <w:tc>
          <w:tcPr>
            <w:tcW w:w="2361" w:type="dxa"/>
          </w:tcPr>
          <w:p w14:paraId="2D27EFE2" w14:textId="77777777" w:rsidR="00EB4B5A" w:rsidRPr="00EB4B5A" w:rsidRDefault="00EB4B5A" w:rsidP="00EB4B5A">
            <w:pPr>
              <w:rPr>
                <w:lang w:val="en-GB"/>
              </w:rPr>
            </w:pPr>
            <w:r w:rsidRPr="00EB4B5A">
              <w:rPr>
                <w:lang w:val="en-GB"/>
              </w:rPr>
              <w:t>7-9 years</w:t>
            </w:r>
          </w:p>
        </w:tc>
        <w:tc>
          <w:tcPr>
            <w:tcW w:w="2361" w:type="dxa"/>
          </w:tcPr>
          <w:p w14:paraId="702A7908" w14:textId="77777777" w:rsidR="00EB4B5A" w:rsidRPr="00EB4B5A" w:rsidRDefault="00EB4B5A" w:rsidP="00EB4B5A">
            <w:pPr>
              <w:rPr>
                <w:lang w:val="en-GB"/>
              </w:rPr>
            </w:pPr>
            <w:r w:rsidRPr="00EB4B5A">
              <w:rPr>
                <w:lang w:val="en-GB"/>
              </w:rPr>
              <w:t>10-12 years</w:t>
            </w:r>
          </w:p>
        </w:tc>
        <w:tc>
          <w:tcPr>
            <w:tcW w:w="2263" w:type="dxa"/>
          </w:tcPr>
          <w:p w14:paraId="28721022" w14:textId="77777777" w:rsidR="00EB4B5A" w:rsidRPr="00EB4B5A" w:rsidRDefault="00EB4B5A" w:rsidP="00EB4B5A">
            <w:pPr>
              <w:rPr>
                <w:lang w:val="en-GB"/>
              </w:rPr>
            </w:pPr>
            <w:r w:rsidRPr="00EB4B5A">
              <w:rPr>
                <w:lang w:val="en-GB"/>
              </w:rPr>
              <w:t>13 years or older</w:t>
            </w:r>
          </w:p>
        </w:tc>
      </w:tr>
      <w:tr w:rsidR="00EB4B5A" w:rsidRPr="00EB4B5A" w14:paraId="548D9D1D" w14:textId="77777777" w:rsidTr="00365C12">
        <w:tc>
          <w:tcPr>
            <w:tcW w:w="2263" w:type="dxa"/>
          </w:tcPr>
          <w:p w14:paraId="7FF539B7" w14:textId="77777777" w:rsidR="00EB4B5A" w:rsidRPr="00EB4B5A" w:rsidRDefault="00EB4B5A" w:rsidP="00EB4B5A">
            <w:pPr>
              <w:rPr>
                <w:lang w:val="en-GB"/>
              </w:rPr>
            </w:pPr>
            <w:r w:rsidRPr="00EB4B5A">
              <w:rPr>
                <w:lang w:val="en-GB"/>
              </w:rPr>
              <w:t>Overall</w:t>
            </w:r>
          </w:p>
        </w:tc>
        <w:tc>
          <w:tcPr>
            <w:tcW w:w="2362" w:type="dxa"/>
          </w:tcPr>
          <w:p w14:paraId="7DB40D26" w14:textId="77777777" w:rsidR="00EB4B5A" w:rsidRPr="00EB4B5A" w:rsidRDefault="00EB4B5A" w:rsidP="00EB4B5A">
            <w:pPr>
              <w:rPr>
                <w:lang w:val="en-GB"/>
              </w:rPr>
            </w:pPr>
            <w:r w:rsidRPr="00EB4B5A">
              <w:rPr>
                <w:lang w:val="en-GB"/>
              </w:rPr>
              <w:t>ref</w:t>
            </w:r>
          </w:p>
        </w:tc>
        <w:tc>
          <w:tcPr>
            <w:tcW w:w="2384" w:type="dxa"/>
          </w:tcPr>
          <w:p w14:paraId="7F696BC1" w14:textId="77777777" w:rsidR="00EB4B5A" w:rsidRPr="00EB4B5A" w:rsidRDefault="00EB4B5A" w:rsidP="00EB4B5A">
            <w:pPr>
              <w:rPr>
                <w:lang w:val="en-GB"/>
              </w:rPr>
            </w:pPr>
            <w:r w:rsidRPr="00EB4B5A">
              <w:rPr>
                <w:lang w:val="en-GB"/>
              </w:rPr>
              <w:t>1.00 (0.90-1.11)</w:t>
            </w:r>
          </w:p>
        </w:tc>
        <w:tc>
          <w:tcPr>
            <w:tcW w:w="2361" w:type="dxa"/>
          </w:tcPr>
          <w:p w14:paraId="0A57BC2F" w14:textId="77777777" w:rsidR="00EB4B5A" w:rsidRPr="00EB4B5A" w:rsidRDefault="00EB4B5A" w:rsidP="00EB4B5A">
            <w:pPr>
              <w:rPr>
                <w:lang w:val="en-GB"/>
              </w:rPr>
            </w:pPr>
            <w:r w:rsidRPr="00EB4B5A">
              <w:rPr>
                <w:lang w:val="en-GB"/>
              </w:rPr>
              <w:t>0.75 (0.67-0.83)</w:t>
            </w:r>
          </w:p>
        </w:tc>
        <w:tc>
          <w:tcPr>
            <w:tcW w:w="2361" w:type="dxa"/>
          </w:tcPr>
          <w:p w14:paraId="62DB0E4B" w14:textId="77777777" w:rsidR="00EB4B5A" w:rsidRPr="00EB4B5A" w:rsidRDefault="00EB4B5A" w:rsidP="00EB4B5A">
            <w:pPr>
              <w:rPr>
                <w:lang w:val="en-GB"/>
              </w:rPr>
            </w:pPr>
            <w:r w:rsidRPr="00EB4B5A">
              <w:rPr>
                <w:lang w:val="en-GB"/>
              </w:rPr>
              <w:t>0.52 (0.47-0.57)</w:t>
            </w:r>
          </w:p>
        </w:tc>
        <w:tc>
          <w:tcPr>
            <w:tcW w:w="2263" w:type="dxa"/>
          </w:tcPr>
          <w:p w14:paraId="08C04E6F" w14:textId="77777777" w:rsidR="00EB4B5A" w:rsidRPr="00EB4B5A" w:rsidRDefault="00EB4B5A" w:rsidP="00EB4B5A">
            <w:pPr>
              <w:rPr>
                <w:lang w:val="en-GB"/>
              </w:rPr>
            </w:pPr>
            <w:r w:rsidRPr="00EB4B5A">
              <w:rPr>
                <w:lang w:val="en-GB"/>
              </w:rPr>
              <w:t>0.27 (0.24-0.30)</w:t>
            </w:r>
          </w:p>
        </w:tc>
      </w:tr>
      <w:tr w:rsidR="00EB4B5A" w:rsidRPr="00EB4B5A" w14:paraId="4513234B" w14:textId="77777777" w:rsidTr="00365C12">
        <w:tc>
          <w:tcPr>
            <w:tcW w:w="2263" w:type="dxa"/>
          </w:tcPr>
          <w:p w14:paraId="57D1427E" w14:textId="77777777" w:rsidR="00EB4B5A" w:rsidRPr="00EB4B5A" w:rsidRDefault="00EB4B5A" w:rsidP="00EB4B5A">
            <w:pPr>
              <w:rPr>
                <w:lang w:val="en-GB"/>
              </w:rPr>
            </w:pPr>
            <w:r w:rsidRPr="00EB4B5A">
              <w:rPr>
                <w:lang w:val="en-GB"/>
              </w:rPr>
              <w:t>Sex</w:t>
            </w:r>
          </w:p>
        </w:tc>
        <w:tc>
          <w:tcPr>
            <w:tcW w:w="2362" w:type="dxa"/>
          </w:tcPr>
          <w:p w14:paraId="11F0B744" w14:textId="77777777" w:rsidR="00EB4B5A" w:rsidRPr="00EB4B5A" w:rsidRDefault="00EB4B5A" w:rsidP="00EB4B5A">
            <w:pPr>
              <w:rPr>
                <w:lang w:val="en-GB"/>
              </w:rPr>
            </w:pPr>
            <w:r w:rsidRPr="00EB4B5A">
              <w:rPr>
                <w:lang w:val="en-GB"/>
              </w:rPr>
              <w:t>ref</w:t>
            </w:r>
          </w:p>
        </w:tc>
        <w:tc>
          <w:tcPr>
            <w:tcW w:w="2384" w:type="dxa"/>
          </w:tcPr>
          <w:p w14:paraId="5AB356DC" w14:textId="77777777" w:rsidR="00EB4B5A" w:rsidRPr="00EB4B5A" w:rsidRDefault="00EB4B5A" w:rsidP="00EB4B5A">
            <w:pPr>
              <w:rPr>
                <w:lang w:val="en-GB"/>
              </w:rPr>
            </w:pPr>
            <w:r w:rsidRPr="00EB4B5A">
              <w:rPr>
                <w:lang w:val="en-GB"/>
              </w:rPr>
              <w:t>0.99 (0.89-1.10)</w:t>
            </w:r>
          </w:p>
        </w:tc>
        <w:tc>
          <w:tcPr>
            <w:tcW w:w="2361" w:type="dxa"/>
          </w:tcPr>
          <w:p w14:paraId="2D1827BD" w14:textId="77777777" w:rsidR="00EB4B5A" w:rsidRPr="00EB4B5A" w:rsidRDefault="00EB4B5A" w:rsidP="00EB4B5A">
            <w:pPr>
              <w:rPr>
                <w:lang w:val="en-GB"/>
              </w:rPr>
            </w:pPr>
            <w:r w:rsidRPr="00EB4B5A">
              <w:rPr>
                <w:lang w:val="en-GB"/>
              </w:rPr>
              <w:t>0.73 (0.66-0.81)</w:t>
            </w:r>
          </w:p>
        </w:tc>
        <w:tc>
          <w:tcPr>
            <w:tcW w:w="2361" w:type="dxa"/>
          </w:tcPr>
          <w:p w14:paraId="12B95421" w14:textId="77777777" w:rsidR="00EB4B5A" w:rsidRPr="00EB4B5A" w:rsidRDefault="00EB4B5A" w:rsidP="00EB4B5A">
            <w:pPr>
              <w:rPr>
                <w:lang w:val="en-GB"/>
              </w:rPr>
            </w:pPr>
            <w:r w:rsidRPr="00EB4B5A">
              <w:rPr>
                <w:lang w:val="en-GB"/>
              </w:rPr>
              <w:t>0.50 (0.45-0.56)</w:t>
            </w:r>
          </w:p>
        </w:tc>
        <w:tc>
          <w:tcPr>
            <w:tcW w:w="2263" w:type="dxa"/>
          </w:tcPr>
          <w:p w14:paraId="6ADD40FD" w14:textId="77777777" w:rsidR="00EB4B5A" w:rsidRPr="00EB4B5A" w:rsidRDefault="00EB4B5A" w:rsidP="00EB4B5A">
            <w:pPr>
              <w:rPr>
                <w:lang w:val="en-GB"/>
              </w:rPr>
            </w:pPr>
            <w:r w:rsidRPr="00EB4B5A">
              <w:rPr>
                <w:lang w:val="en-GB"/>
              </w:rPr>
              <w:t>0.26 (0.23-0.29)</w:t>
            </w:r>
          </w:p>
        </w:tc>
      </w:tr>
      <w:tr w:rsidR="00EB4B5A" w:rsidRPr="00EB4B5A" w14:paraId="12A90AF0" w14:textId="77777777" w:rsidTr="00365C12">
        <w:tc>
          <w:tcPr>
            <w:tcW w:w="2263" w:type="dxa"/>
          </w:tcPr>
          <w:p w14:paraId="0A3DD7FB" w14:textId="77777777" w:rsidR="00EB4B5A" w:rsidRPr="00EB4B5A" w:rsidRDefault="00EB4B5A" w:rsidP="00EB4B5A">
            <w:pPr>
              <w:rPr>
                <w:lang w:val="en-GB"/>
              </w:rPr>
            </w:pPr>
            <w:r w:rsidRPr="00EB4B5A">
              <w:rPr>
                <w:lang w:val="en-GB"/>
              </w:rPr>
              <w:t>Socioeconomic status</w:t>
            </w:r>
          </w:p>
        </w:tc>
        <w:tc>
          <w:tcPr>
            <w:tcW w:w="2362" w:type="dxa"/>
          </w:tcPr>
          <w:p w14:paraId="01936299" w14:textId="77777777" w:rsidR="00EB4B5A" w:rsidRPr="00EB4B5A" w:rsidRDefault="00EB4B5A" w:rsidP="00EB4B5A">
            <w:pPr>
              <w:rPr>
                <w:lang w:val="en-GB"/>
              </w:rPr>
            </w:pPr>
            <w:r w:rsidRPr="00EB4B5A">
              <w:rPr>
                <w:lang w:val="en-GB"/>
              </w:rPr>
              <w:t>ref</w:t>
            </w:r>
          </w:p>
        </w:tc>
        <w:tc>
          <w:tcPr>
            <w:tcW w:w="2384" w:type="dxa"/>
          </w:tcPr>
          <w:p w14:paraId="0E3A33B8" w14:textId="77777777" w:rsidR="00EB4B5A" w:rsidRPr="00EB4B5A" w:rsidRDefault="00EB4B5A" w:rsidP="00EB4B5A">
            <w:pPr>
              <w:rPr>
                <w:lang w:val="en-GB"/>
              </w:rPr>
            </w:pPr>
            <w:r w:rsidRPr="00EB4B5A">
              <w:rPr>
                <w:lang w:val="en-GB"/>
              </w:rPr>
              <w:t>1.03 (0.92-1.15)</w:t>
            </w:r>
          </w:p>
        </w:tc>
        <w:tc>
          <w:tcPr>
            <w:tcW w:w="2361" w:type="dxa"/>
          </w:tcPr>
          <w:p w14:paraId="69DECCCB" w14:textId="77777777" w:rsidR="00EB4B5A" w:rsidRPr="00EB4B5A" w:rsidRDefault="00EB4B5A" w:rsidP="00EB4B5A">
            <w:pPr>
              <w:rPr>
                <w:lang w:val="en-GB"/>
              </w:rPr>
            </w:pPr>
            <w:r w:rsidRPr="00EB4B5A">
              <w:rPr>
                <w:lang w:val="en-GB"/>
              </w:rPr>
              <w:t>0.82 (0.73-0.90)</w:t>
            </w:r>
          </w:p>
        </w:tc>
        <w:tc>
          <w:tcPr>
            <w:tcW w:w="2361" w:type="dxa"/>
          </w:tcPr>
          <w:p w14:paraId="236380DF" w14:textId="77777777" w:rsidR="00EB4B5A" w:rsidRPr="00EB4B5A" w:rsidRDefault="00EB4B5A" w:rsidP="00EB4B5A">
            <w:pPr>
              <w:rPr>
                <w:lang w:val="en-GB"/>
              </w:rPr>
            </w:pPr>
            <w:r w:rsidRPr="00EB4B5A">
              <w:rPr>
                <w:lang w:val="en-GB"/>
              </w:rPr>
              <w:t>0.61 (0.55-0.68)</w:t>
            </w:r>
          </w:p>
        </w:tc>
        <w:tc>
          <w:tcPr>
            <w:tcW w:w="2263" w:type="dxa"/>
          </w:tcPr>
          <w:p w14:paraId="3B53A335" w14:textId="77777777" w:rsidR="00EB4B5A" w:rsidRPr="00EB4B5A" w:rsidRDefault="00EB4B5A" w:rsidP="00EB4B5A">
            <w:pPr>
              <w:rPr>
                <w:lang w:val="en-GB"/>
              </w:rPr>
            </w:pPr>
            <w:r w:rsidRPr="00EB4B5A">
              <w:rPr>
                <w:lang w:val="en-GB"/>
              </w:rPr>
              <w:t>0.36 (0.32-0.40)</w:t>
            </w:r>
          </w:p>
        </w:tc>
      </w:tr>
      <w:tr w:rsidR="00EB4B5A" w:rsidRPr="00EB4B5A" w14:paraId="0D502D8B" w14:textId="77777777" w:rsidTr="00365C12">
        <w:tc>
          <w:tcPr>
            <w:tcW w:w="2263" w:type="dxa"/>
          </w:tcPr>
          <w:p w14:paraId="7A155520" w14:textId="77777777" w:rsidR="00EB4B5A" w:rsidRPr="00EB4B5A" w:rsidRDefault="00EB4B5A" w:rsidP="00EB4B5A">
            <w:pPr>
              <w:rPr>
                <w:lang w:val="en-GB"/>
              </w:rPr>
            </w:pPr>
            <w:r w:rsidRPr="00EB4B5A">
              <w:rPr>
                <w:lang w:val="en-GB"/>
              </w:rPr>
              <w:t>Country</w:t>
            </w:r>
          </w:p>
        </w:tc>
        <w:tc>
          <w:tcPr>
            <w:tcW w:w="2362" w:type="dxa"/>
          </w:tcPr>
          <w:p w14:paraId="1F6FB8D1" w14:textId="77777777" w:rsidR="00EB4B5A" w:rsidRPr="00EB4B5A" w:rsidRDefault="00EB4B5A" w:rsidP="00EB4B5A">
            <w:pPr>
              <w:rPr>
                <w:lang w:val="en-GB"/>
              </w:rPr>
            </w:pPr>
            <w:r w:rsidRPr="00EB4B5A">
              <w:rPr>
                <w:lang w:val="en-GB"/>
              </w:rPr>
              <w:t>ref</w:t>
            </w:r>
          </w:p>
        </w:tc>
        <w:tc>
          <w:tcPr>
            <w:tcW w:w="2384" w:type="dxa"/>
          </w:tcPr>
          <w:p w14:paraId="1C11FE13" w14:textId="77777777" w:rsidR="00EB4B5A" w:rsidRPr="00EB4B5A" w:rsidRDefault="00EB4B5A" w:rsidP="00EB4B5A">
            <w:pPr>
              <w:rPr>
                <w:lang w:val="en-GB"/>
              </w:rPr>
            </w:pPr>
            <w:r w:rsidRPr="00EB4B5A">
              <w:rPr>
                <w:lang w:val="en-GB"/>
              </w:rPr>
              <w:t>1.00 (0.90-1.12)</w:t>
            </w:r>
          </w:p>
        </w:tc>
        <w:tc>
          <w:tcPr>
            <w:tcW w:w="2361" w:type="dxa"/>
          </w:tcPr>
          <w:p w14:paraId="794CD1B3" w14:textId="77777777" w:rsidR="00EB4B5A" w:rsidRPr="00EB4B5A" w:rsidRDefault="00EB4B5A" w:rsidP="00EB4B5A">
            <w:pPr>
              <w:rPr>
                <w:lang w:val="en-GB"/>
              </w:rPr>
            </w:pPr>
            <w:r w:rsidRPr="00EB4B5A">
              <w:rPr>
                <w:lang w:val="en-GB"/>
              </w:rPr>
              <w:t>0.75 (0.68-0.83)</w:t>
            </w:r>
          </w:p>
        </w:tc>
        <w:tc>
          <w:tcPr>
            <w:tcW w:w="2361" w:type="dxa"/>
          </w:tcPr>
          <w:p w14:paraId="1315C614" w14:textId="77777777" w:rsidR="00EB4B5A" w:rsidRPr="00EB4B5A" w:rsidRDefault="00EB4B5A" w:rsidP="00EB4B5A">
            <w:pPr>
              <w:rPr>
                <w:lang w:val="en-GB"/>
              </w:rPr>
            </w:pPr>
            <w:r w:rsidRPr="00EB4B5A">
              <w:rPr>
                <w:lang w:val="en-GB"/>
              </w:rPr>
              <w:t>0.53 (0.48-0.58)</w:t>
            </w:r>
          </w:p>
        </w:tc>
        <w:tc>
          <w:tcPr>
            <w:tcW w:w="2263" w:type="dxa"/>
          </w:tcPr>
          <w:p w14:paraId="455C9F18" w14:textId="77777777" w:rsidR="00EB4B5A" w:rsidRPr="00EB4B5A" w:rsidRDefault="00EB4B5A" w:rsidP="00EB4B5A">
            <w:pPr>
              <w:rPr>
                <w:lang w:val="en-GB"/>
              </w:rPr>
            </w:pPr>
            <w:r w:rsidRPr="00EB4B5A">
              <w:rPr>
                <w:lang w:val="en-GB"/>
              </w:rPr>
              <w:t>0.28 (0.25-0.31)</w:t>
            </w:r>
          </w:p>
        </w:tc>
      </w:tr>
    </w:tbl>
    <w:p w14:paraId="17DF1655" w14:textId="57EFEE75" w:rsidR="00EB4B5A" w:rsidRDefault="00EB4B5A" w:rsidP="00EB4B5A">
      <w:pPr>
        <w:rPr>
          <w:sz w:val="24"/>
          <w:szCs w:val="24"/>
          <w:lang w:val="en-GB"/>
        </w:rPr>
      </w:pPr>
    </w:p>
    <w:p w14:paraId="2A9BEADA" w14:textId="3A8D79B3" w:rsidR="00EB4B5A" w:rsidRDefault="00EB4B5A" w:rsidP="00EB4B5A">
      <w:pPr>
        <w:rPr>
          <w:sz w:val="24"/>
          <w:szCs w:val="24"/>
          <w:lang w:val="en-GB"/>
        </w:rPr>
      </w:pPr>
    </w:p>
    <w:p w14:paraId="60828CF6" w14:textId="0B669768" w:rsidR="00EB4B5A" w:rsidRDefault="00EB4B5A" w:rsidP="00EB4B5A">
      <w:pPr>
        <w:rPr>
          <w:sz w:val="24"/>
          <w:szCs w:val="24"/>
          <w:lang w:val="en-GB"/>
        </w:rPr>
      </w:pPr>
    </w:p>
    <w:p w14:paraId="79CB22AE" w14:textId="00FE6C5E" w:rsidR="00EB4B5A" w:rsidRDefault="00EB4B5A" w:rsidP="00EB4B5A">
      <w:pPr>
        <w:rPr>
          <w:sz w:val="24"/>
          <w:szCs w:val="24"/>
          <w:lang w:val="en-GB"/>
        </w:rPr>
      </w:pPr>
    </w:p>
    <w:p w14:paraId="3B900F11" w14:textId="209ECC81" w:rsidR="00EB4B5A" w:rsidRDefault="00EB4B5A" w:rsidP="00EB4B5A">
      <w:pPr>
        <w:rPr>
          <w:sz w:val="24"/>
          <w:szCs w:val="24"/>
          <w:lang w:val="en-GB"/>
        </w:rPr>
      </w:pPr>
    </w:p>
    <w:p w14:paraId="07184131" w14:textId="48899D7D" w:rsidR="00EB4B5A" w:rsidRDefault="00EB4B5A" w:rsidP="00EB4B5A">
      <w:pPr>
        <w:rPr>
          <w:sz w:val="24"/>
          <w:szCs w:val="24"/>
          <w:lang w:val="en-GB"/>
        </w:rPr>
      </w:pPr>
    </w:p>
    <w:p w14:paraId="626B9016" w14:textId="5383875D" w:rsidR="00EB4B5A" w:rsidRDefault="00EB4B5A" w:rsidP="00EB4B5A">
      <w:pPr>
        <w:rPr>
          <w:sz w:val="24"/>
          <w:szCs w:val="24"/>
          <w:lang w:val="en-GB"/>
        </w:rPr>
      </w:pPr>
    </w:p>
    <w:p w14:paraId="77ECDFC9" w14:textId="55521C87" w:rsidR="00EB4B5A" w:rsidRDefault="00EB4B5A" w:rsidP="00EB4B5A">
      <w:pPr>
        <w:rPr>
          <w:sz w:val="24"/>
          <w:szCs w:val="24"/>
          <w:lang w:val="en-GB"/>
        </w:rPr>
      </w:pPr>
    </w:p>
    <w:p w14:paraId="4A1D4048" w14:textId="5F37F0CE" w:rsidR="00EB4B5A" w:rsidRDefault="00EB4B5A" w:rsidP="00EB4B5A">
      <w:pPr>
        <w:rPr>
          <w:sz w:val="24"/>
          <w:szCs w:val="24"/>
          <w:lang w:val="en-GB"/>
        </w:rPr>
      </w:pPr>
    </w:p>
    <w:p w14:paraId="001E0933" w14:textId="1B538E65" w:rsidR="00EB4B5A" w:rsidRDefault="00EB4B5A" w:rsidP="00EB4B5A">
      <w:pPr>
        <w:rPr>
          <w:sz w:val="24"/>
          <w:szCs w:val="24"/>
          <w:lang w:val="en-GB"/>
        </w:rPr>
      </w:pPr>
    </w:p>
    <w:p w14:paraId="6F8A7A41" w14:textId="2E80F55E" w:rsidR="00EB4B5A" w:rsidRDefault="00EB4B5A" w:rsidP="00EB4B5A">
      <w:pPr>
        <w:rPr>
          <w:sz w:val="24"/>
          <w:szCs w:val="24"/>
          <w:lang w:val="en-GB"/>
        </w:rPr>
      </w:pPr>
    </w:p>
    <w:p w14:paraId="2451E467" w14:textId="74B4014E" w:rsidR="00EB4B5A" w:rsidRDefault="00EB4B5A" w:rsidP="00EB4B5A">
      <w:pPr>
        <w:rPr>
          <w:sz w:val="24"/>
          <w:szCs w:val="24"/>
          <w:lang w:val="en-GB"/>
        </w:rPr>
      </w:pPr>
    </w:p>
    <w:p w14:paraId="38A30EE3" w14:textId="627EF68D" w:rsidR="00EB4B5A" w:rsidRDefault="00EB4B5A" w:rsidP="00EB4B5A">
      <w:pPr>
        <w:rPr>
          <w:sz w:val="24"/>
          <w:szCs w:val="24"/>
          <w:lang w:val="en-GB"/>
        </w:rPr>
      </w:pPr>
    </w:p>
    <w:p w14:paraId="3BC56221" w14:textId="1E525CD7" w:rsidR="00EB4B5A" w:rsidRDefault="00EB4B5A" w:rsidP="00EB4B5A">
      <w:pPr>
        <w:rPr>
          <w:sz w:val="24"/>
          <w:szCs w:val="24"/>
          <w:lang w:val="en-GB"/>
        </w:rPr>
      </w:pPr>
    </w:p>
    <w:tbl>
      <w:tblPr>
        <w:tblStyle w:val="TableGrid5"/>
        <w:tblW w:w="0" w:type="auto"/>
        <w:tblLook w:val="04A0" w:firstRow="1" w:lastRow="0" w:firstColumn="1" w:lastColumn="0" w:noHBand="0" w:noVBand="1"/>
      </w:tblPr>
      <w:tblGrid>
        <w:gridCol w:w="2263"/>
        <w:gridCol w:w="2362"/>
        <w:gridCol w:w="2384"/>
        <w:gridCol w:w="2361"/>
        <w:gridCol w:w="2361"/>
        <w:gridCol w:w="2263"/>
      </w:tblGrid>
      <w:tr w:rsidR="00EB4B5A" w:rsidRPr="00EB4B5A" w14:paraId="49DA3CE0" w14:textId="77777777" w:rsidTr="00365C12">
        <w:tc>
          <w:tcPr>
            <w:tcW w:w="13994" w:type="dxa"/>
            <w:gridSpan w:val="6"/>
          </w:tcPr>
          <w:p w14:paraId="5B1182F8" w14:textId="77777777" w:rsidR="00EB4B5A" w:rsidRPr="00EB4B5A" w:rsidRDefault="00EB4B5A" w:rsidP="00EB4B5A">
            <w:pPr>
              <w:rPr>
                <w:b/>
                <w:bCs/>
                <w:lang w:val="en-GB"/>
              </w:rPr>
            </w:pPr>
            <w:proofErr w:type="spellStart"/>
            <w:r w:rsidRPr="00EB4B5A">
              <w:rPr>
                <w:b/>
                <w:bCs/>
                <w:lang w:val="en-GB"/>
              </w:rPr>
              <w:lastRenderedPageBreak/>
              <w:t>eTable</w:t>
            </w:r>
            <w:proofErr w:type="spellEnd"/>
            <w:r w:rsidRPr="00EB4B5A">
              <w:rPr>
                <w:b/>
                <w:bCs/>
                <w:lang w:val="en-GB"/>
              </w:rPr>
              <w:t xml:space="preserve"> 5. Association between age of first exposure and heavy Internet use at school adjusted for control variables.</w:t>
            </w:r>
          </w:p>
        </w:tc>
      </w:tr>
      <w:tr w:rsidR="00EB4B5A" w:rsidRPr="00EB4B5A" w14:paraId="7E0ED069" w14:textId="77777777" w:rsidTr="00365C12">
        <w:tc>
          <w:tcPr>
            <w:tcW w:w="2263" w:type="dxa"/>
          </w:tcPr>
          <w:p w14:paraId="545E314B" w14:textId="77777777" w:rsidR="00EB4B5A" w:rsidRPr="00EB4B5A" w:rsidRDefault="00EB4B5A" w:rsidP="00EB4B5A">
            <w:pPr>
              <w:rPr>
                <w:lang w:val="en-GB"/>
              </w:rPr>
            </w:pPr>
          </w:p>
        </w:tc>
        <w:tc>
          <w:tcPr>
            <w:tcW w:w="2362" w:type="dxa"/>
          </w:tcPr>
          <w:p w14:paraId="3C95F4DF" w14:textId="77777777" w:rsidR="00EB4B5A" w:rsidRPr="00EB4B5A" w:rsidRDefault="00EB4B5A" w:rsidP="00EB4B5A">
            <w:pPr>
              <w:rPr>
                <w:lang w:val="en-GB"/>
              </w:rPr>
            </w:pPr>
            <w:r w:rsidRPr="00EB4B5A">
              <w:rPr>
                <w:lang w:val="en-GB"/>
              </w:rPr>
              <w:t>OR (95% IC)</w:t>
            </w:r>
          </w:p>
        </w:tc>
        <w:tc>
          <w:tcPr>
            <w:tcW w:w="2384" w:type="dxa"/>
          </w:tcPr>
          <w:p w14:paraId="5FDFD4B2" w14:textId="77777777" w:rsidR="00EB4B5A" w:rsidRPr="00EB4B5A" w:rsidRDefault="00EB4B5A" w:rsidP="00EB4B5A">
            <w:pPr>
              <w:rPr>
                <w:lang w:val="en-GB"/>
              </w:rPr>
            </w:pPr>
          </w:p>
        </w:tc>
        <w:tc>
          <w:tcPr>
            <w:tcW w:w="2361" w:type="dxa"/>
          </w:tcPr>
          <w:p w14:paraId="28EF87A8" w14:textId="77777777" w:rsidR="00EB4B5A" w:rsidRPr="00EB4B5A" w:rsidRDefault="00EB4B5A" w:rsidP="00EB4B5A">
            <w:pPr>
              <w:rPr>
                <w:lang w:val="en-GB"/>
              </w:rPr>
            </w:pPr>
          </w:p>
        </w:tc>
        <w:tc>
          <w:tcPr>
            <w:tcW w:w="2361" w:type="dxa"/>
          </w:tcPr>
          <w:p w14:paraId="08340D74" w14:textId="77777777" w:rsidR="00EB4B5A" w:rsidRPr="00EB4B5A" w:rsidRDefault="00EB4B5A" w:rsidP="00EB4B5A">
            <w:pPr>
              <w:rPr>
                <w:lang w:val="en-GB"/>
              </w:rPr>
            </w:pPr>
          </w:p>
        </w:tc>
        <w:tc>
          <w:tcPr>
            <w:tcW w:w="2263" w:type="dxa"/>
          </w:tcPr>
          <w:p w14:paraId="4FF4D150" w14:textId="77777777" w:rsidR="00EB4B5A" w:rsidRPr="00EB4B5A" w:rsidRDefault="00EB4B5A" w:rsidP="00EB4B5A">
            <w:pPr>
              <w:rPr>
                <w:lang w:val="en-GB"/>
              </w:rPr>
            </w:pPr>
          </w:p>
        </w:tc>
      </w:tr>
      <w:tr w:rsidR="00EB4B5A" w:rsidRPr="00EB4B5A" w14:paraId="71BA997E" w14:textId="77777777" w:rsidTr="00365C12">
        <w:tc>
          <w:tcPr>
            <w:tcW w:w="2263" w:type="dxa"/>
          </w:tcPr>
          <w:p w14:paraId="195E50FF" w14:textId="77777777" w:rsidR="00EB4B5A" w:rsidRPr="00EB4B5A" w:rsidRDefault="00EB4B5A" w:rsidP="00EB4B5A">
            <w:pPr>
              <w:rPr>
                <w:lang w:val="en-GB"/>
              </w:rPr>
            </w:pPr>
          </w:p>
        </w:tc>
        <w:tc>
          <w:tcPr>
            <w:tcW w:w="2362" w:type="dxa"/>
          </w:tcPr>
          <w:p w14:paraId="5255FC0F" w14:textId="77777777" w:rsidR="00EB4B5A" w:rsidRPr="00EB4B5A" w:rsidRDefault="00EB4B5A" w:rsidP="00EB4B5A">
            <w:pPr>
              <w:rPr>
                <w:lang w:val="en-GB"/>
              </w:rPr>
            </w:pPr>
            <w:r w:rsidRPr="00EB4B5A">
              <w:rPr>
                <w:lang w:val="en-GB"/>
              </w:rPr>
              <w:t>3 years or less</w:t>
            </w:r>
          </w:p>
        </w:tc>
        <w:tc>
          <w:tcPr>
            <w:tcW w:w="2384" w:type="dxa"/>
          </w:tcPr>
          <w:p w14:paraId="47B3B8D8" w14:textId="77777777" w:rsidR="00EB4B5A" w:rsidRPr="00EB4B5A" w:rsidRDefault="00EB4B5A" w:rsidP="00EB4B5A">
            <w:pPr>
              <w:rPr>
                <w:lang w:val="en-GB"/>
              </w:rPr>
            </w:pPr>
            <w:r w:rsidRPr="00EB4B5A">
              <w:rPr>
                <w:lang w:val="en-GB"/>
              </w:rPr>
              <w:t>4-6 years</w:t>
            </w:r>
          </w:p>
        </w:tc>
        <w:tc>
          <w:tcPr>
            <w:tcW w:w="2361" w:type="dxa"/>
          </w:tcPr>
          <w:p w14:paraId="54C717CD" w14:textId="77777777" w:rsidR="00EB4B5A" w:rsidRPr="00EB4B5A" w:rsidRDefault="00EB4B5A" w:rsidP="00EB4B5A">
            <w:pPr>
              <w:rPr>
                <w:lang w:val="en-GB"/>
              </w:rPr>
            </w:pPr>
            <w:r w:rsidRPr="00EB4B5A">
              <w:rPr>
                <w:lang w:val="en-GB"/>
              </w:rPr>
              <w:t>7-9 years</w:t>
            </w:r>
          </w:p>
        </w:tc>
        <w:tc>
          <w:tcPr>
            <w:tcW w:w="2361" w:type="dxa"/>
          </w:tcPr>
          <w:p w14:paraId="74E8EB70" w14:textId="77777777" w:rsidR="00EB4B5A" w:rsidRPr="00EB4B5A" w:rsidRDefault="00EB4B5A" w:rsidP="00EB4B5A">
            <w:pPr>
              <w:rPr>
                <w:lang w:val="en-GB"/>
              </w:rPr>
            </w:pPr>
            <w:r w:rsidRPr="00EB4B5A">
              <w:rPr>
                <w:lang w:val="en-GB"/>
              </w:rPr>
              <w:t>10-12 years</w:t>
            </w:r>
          </w:p>
        </w:tc>
        <w:tc>
          <w:tcPr>
            <w:tcW w:w="2263" w:type="dxa"/>
          </w:tcPr>
          <w:p w14:paraId="269D0AF8" w14:textId="77777777" w:rsidR="00EB4B5A" w:rsidRPr="00EB4B5A" w:rsidRDefault="00EB4B5A" w:rsidP="00EB4B5A">
            <w:pPr>
              <w:rPr>
                <w:lang w:val="en-GB"/>
              </w:rPr>
            </w:pPr>
            <w:r w:rsidRPr="00EB4B5A">
              <w:rPr>
                <w:lang w:val="en-GB"/>
              </w:rPr>
              <w:t>13 years or older</w:t>
            </w:r>
          </w:p>
        </w:tc>
      </w:tr>
      <w:tr w:rsidR="00EB4B5A" w:rsidRPr="00EB4B5A" w14:paraId="59CA69C6" w14:textId="77777777" w:rsidTr="00365C12">
        <w:tc>
          <w:tcPr>
            <w:tcW w:w="2263" w:type="dxa"/>
          </w:tcPr>
          <w:p w14:paraId="1E9F68F7" w14:textId="77777777" w:rsidR="00EB4B5A" w:rsidRPr="00EB4B5A" w:rsidRDefault="00EB4B5A" w:rsidP="00EB4B5A">
            <w:pPr>
              <w:rPr>
                <w:lang w:val="en-GB"/>
              </w:rPr>
            </w:pPr>
            <w:r w:rsidRPr="00EB4B5A">
              <w:rPr>
                <w:lang w:val="en-GB"/>
              </w:rPr>
              <w:t>Overall</w:t>
            </w:r>
          </w:p>
        </w:tc>
        <w:tc>
          <w:tcPr>
            <w:tcW w:w="2362" w:type="dxa"/>
          </w:tcPr>
          <w:p w14:paraId="648A9EAD" w14:textId="77777777" w:rsidR="00EB4B5A" w:rsidRPr="00EB4B5A" w:rsidRDefault="00EB4B5A" w:rsidP="00EB4B5A">
            <w:pPr>
              <w:rPr>
                <w:lang w:val="en-GB"/>
              </w:rPr>
            </w:pPr>
            <w:r w:rsidRPr="00EB4B5A">
              <w:rPr>
                <w:lang w:val="en-GB"/>
              </w:rPr>
              <w:t>ref</w:t>
            </w:r>
          </w:p>
        </w:tc>
        <w:tc>
          <w:tcPr>
            <w:tcW w:w="2384" w:type="dxa"/>
          </w:tcPr>
          <w:p w14:paraId="34F62F9C" w14:textId="77777777" w:rsidR="00EB4B5A" w:rsidRPr="00EB4B5A" w:rsidRDefault="00EB4B5A" w:rsidP="00EB4B5A">
            <w:pPr>
              <w:rPr>
                <w:lang w:val="en-GB"/>
              </w:rPr>
            </w:pPr>
            <w:r w:rsidRPr="00EB4B5A">
              <w:rPr>
                <w:lang w:val="en-GB"/>
              </w:rPr>
              <w:t>0.71 (0.64-0.79)</w:t>
            </w:r>
          </w:p>
        </w:tc>
        <w:tc>
          <w:tcPr>
            <w:tcW w:w="2361" w:type="dxa"/>
          </w:tcPr>
          <w:p w14:paraId="638D4890" w14:textId="77777777" w:rsidR="00EB4B5A" w:rsidRPr="00EB4B5A" w:rsidRDefault="00EB4B5A" w:rsidP="00EB4B5A">
            <w:pPr>
              <w:rPr>
                <w:lang w:val="en-GB"/>
              </w:rPr>
            </w:pPr>
            <w:r w:rsidRPr="00EB4B5A">
              <w:rPr>
                <w:lang w:val="en-GB"/>
              </w:rPr>
              <w:t>0.61 (0.55-0.70)</w:t>
            </w:r>
          </w:p>
        </w:tc>
        <w:tc>
          <w:tcPr>
            <w:tcW w:w="2361" w:type="dxa"/>
          </w:tcPr>
          <w:p w14:paraId="3E25B4CC" w14:textId="77777777" w:rsidR="00EB4B5A" w:rsidRPr="00EB4B5A" w:rsidRDefault="00EB4B5A" w:rsidP="00EB4B5A">
            <w:pPr>
              <w:rPr>
                <w:lang w:val="en-GB"/>
              </w:rPr>
            </w:pPr>
            <w:r w:rsidRPr="00EB4B5A">
              <w:rPr>
                <w:lang w:val="en-GB"/>
              </w:rPr>
              <w:t>0.54 (0.49-0.60)</w:t>
            </w:r>
          </w:p>
        </w:tc>
        <w:tc>
          <w:tcPr>
            <w:tcW w:w="2263" w:type="dxa"/>
          </w:tcPr>
          <w:p w14:paraId="4795D2F2" w14:textId="77777777" w:rsidR="00EB4B5A" w:rsidRPr="00EB4B5A" w:rsidRDefault="00EB4B5A" w:rsidP="00EB4B5A">
            <w:pPr>
              <w:rPr>
                <w:lang w:val="en-GB"/>
              </w:rPr>
            </w:pPr>
            <w:r w:rsidRPr="00EB4B5A">
              <w:rPr>
                <w:lang w:val="en-GB"/>
              </w:rPr>
              <w:t>0.51 (0.45-0.57)</w:t>
            </w:r>
          </w:p>
        </w:tc>
      </w:tr>
      <w:tr w:rsidR="00EB4B5A" w:rsidRPr="00EB4B5A" w14:paraId="61B6932A" w14:textId="77777777" w:rsidTr="00365C12">
        <w:tc>
          <w:tcPr>
            <w:tcW w:w="2263" w:type="dxa"/>
          </w:tcPr>
          <w:p w14:paraId="4548C54B" w14:textId="77777777" w:rsidR="00EB4B5A" w:rsidRPr="00EB4B5A" w:rsidRDefault="00EB4B5A" w:rsidP="00EB4B5A">
            <w:pPr>
              <w:rPr>
                <w:lang w:val="en-GB"/>
              </w:rPr>
            </w:pPr>
            <w:r w:rsidRPr="00EB4B5A">
              <w:rPr>
                <w:lang w:val="en-GB"/>
              </w:rPr>
              <w:t>Sex</w:t>
            </w:r>
          </w:p>
        </w:tc>
        <w:tc>
          <w:tcPr>
            <w:tcW w:w="2362" w:type="dxa"/>
          </w:tcPr>
          <w:p w14:paraId="13C5AB76" w14:textId="77777777" w:rsidR="00EB4B5A" w:rsidRPr="00EB4B5A" w:rsidRDefault="00EB4B5A" w:rsidP="00EB4B5A">
            <w:pPr>
              <w:rPr>
                <w:lang w:val="en-GB"/>
              </w:rPr>
            </w:pPr>
            <w:r w:rsidRPr="00EB4B5A">
              <w:rPr>
                <w:lang w:val="en-GB"/>
              </w:rPr>
              <w:t>ref</w:t>
            </w:r>
          </w:p>
        </w:tc>
        <w:tc>
          <w:tcPr>
            <w:tcW w:w="2384" w:type="dxa"/>
          </w:tcPr>
          <w:p w14:paraId="214F7FD9" w14:textId="77777777" w:rsidR="00EB4B5A" w:rsidRPr="00EB4B5A" w:rsidRDefault="00EB4B5A" w:rsidP="00EB4B5A">
            <w:pPr>
              <w:rPr>
                <w:lang w:val="en-GB"/>
              </w:rPr>
            </w:pPr>
            <w:r w:rsidRPr="00EB4B5A">
              <w:rPr>
                <w:lang w:val="en-GB"/>
              </w:rPr>
              <w:t>0.71 (0.64-0.79)</w:t>
            </w:r>
          </w:p>
        </w:tc>
        <w:tc>
          <w:tcPr>
            <w:tcW w:w="2361" w:type="dxa"/>
          </w:tcPr>
          <w:p w14:paraId="01E8613B" w14:textId="77777777" w:rsidR="00EB4B5A" w:rsidRPr="00EB4B5A" w:rsidRDefault="00EB4B5A" w:rsidP="00EB4B5A">
            <w:pPr>
              <w:rPr>
                <w:lang w:val="en-GB"/>
              </w:rPr>
            </w:pPr>
            <w:r w:rsidRPr="00EB4B5A">
              <w:rPr>
                <w:lang w:val="en-GB"/>
              </w:rPr>
              <w:t>0.60 (0.54-0.66)</w:t>
            </w:r>
          </w:p>
        </w:tc>
        <w:tc>
          <w:tcPr>
            <w:tcW w:w="2361" w:type="dxa"/>
          </w:tcPr>
          <w:p w14:paraId="4AE6CD27" w14:textId="77777777" w:rsidR="00EB4B5A" w:rsidRPr="00EB4B5A" w:rsidRDefault="00EB4B5A" w:rsidP="00EB4B5A">
            <w:pPr>
              <w:rPr>
                <w:lang w:val="en-GB"/>
              </w:rPr>
            </w:pPr>
            <w:r w:rsidRPr="00EB4B5A">
              <w:rPr>
                <w:lang w:val="en-GB"/>
              </w:rPr>
              <w:t>0.53 (0.48-0.59)</w:t>
            </w:r>
          </w:p>
        </w:tc>
        <w:tc>
          <w:tcPr>
            <w:tcW w:w="2263" w:type="dxa"/>
          </w:tcPr>
          <w:p w14:paraId="13593E45" w14:textId="77777777" w:rsidR="00EB4B5A" w:rsidRPr="00EB4B5A" w:rsidRDefault="00EB4B5A" w:rsidP="00EB4B5A">
            <w:pPr>
              <w:rPr>
                <w:lang w:val="en-GB"/>
              </w:rPr>
            </w:pPr>
            <w:r w:rsidRPr="00EB4B5A">
              <w:rPr>
                <w:lang w:val="en-GB"/>
              </w:rPr>
              <w:t>0.50 (0.45-0.56)</w:t>
            </w:r>
          </w:p>
        </w:tc>
      </w:tr>
      <w:tr w:rsidR="00EB4B5A" w:rsidRPr="00EB4B5A" w14:paraId="71BC4C35" w14:textId="77777777" w:rsidTr="00365C12">
        <w:tc>
          <w:tcPr>
            <w:tcW w:w="2263" w:type="dxa"/>
          </w:tcPr>
          <w:p w14:paraId="343891A4" w14:textId="77777777" w:rsidR="00EB4B5A" w:rsidRPr="00EB4B5A" w:rsidRDefault="00EB4B5A" w:rsidP="00EB4B5A">
            <w:pPr>
              <w:rPr>
                <w:lang w:val="en-GB"/>
              </w:rPr>
            </w:pPr>
            <w:r w:rsidRPr="00EB4B5A">
              <w:rPr>
                <w:lang w:val="en-GB"/>
              </w:rPr>
              <w:t>Socioeconomic status</w:t>
            </w:r>
          </w:p>
        </w:tc>
        <w:tc>
          <w:tcPr>
            <w:tcW w:w="2362" w:type="dxa"/>
          </w:tcPr>
          <w:p w14:paraId="7938232E" w14:textId="77777777" w:rsidR="00EB4B5A" w:rsidRPr="00EB4B5A" w:rsidRDefault="00EB4B5A" w:rsidP="00EB4B5A">
            <w:pPr>
              <w:rPr>
                <w:lang w:val="en-GB"/>
              </w:rPr>
            </w:pPr>
            <w:r w:rsidRPr="00EB4B5A">
              <w:rPr>
                <w:lang w:val="en-GB"/>
              </w:rPr>
              <w:t>ref</w:t>
            </w:r>
          </w:p>
        </w:tc>
        <w:tc>
          <w:tcPr>
            <w:tcW w:w="2384" w:type="dxa"/>
          </w:tcPr>
          <w:p w14:paraId="79AA9D69" w14:textId="77777777" w:rsidR="00EB4B5A" w:rsidRPr="00EB4B5A" w:rsidRDefault="00EB4B5A" w:rsidP="00EB4B5A">
            <w:pPr>
              <w:rPr>
                <w:lang w:val="en-GB"/>
              </w:rPr>
            </w:pPr>
            <w:r w:rsidRPr="00EB4B5A">
              <w:rPr>
                <w:lang w:val="en-GB"/>
              </w:rPr>
              <w:t>0.72 (0.65-0.80)</w:t>
            </w:r>
          </w:p>
        </w:tc>
        <w:tc>
          <w:tcPr>
            <w:tcW w:w="2361" w:type="dxa"/>
          </w:tcPr>
          <w:p w14:paraId="2165AF2C" w14:textId="77777777" w:rsidR="00EB4B5A" w:rsidRPr="00EB4B5A" w:rsidRDefault="00EB4B5A" w:rsidP="00EB4B5A">
            <w:pPr>
              <w:rPr>
                <w:lang w:val="en-GB"/>
              </w:rPr>
            </w:pPr>
            <w:r w:rsidRPr="00EB4B5A">
              <w:rPr>
                <w:lang w:val="en-GB"/>
              </w:rPr>
              <w:t>0.64 (0.58-0.71)</w:t>
            </w:r>
          </w:p>
        </w:tc>
        <w:tc>
          <w:tcPr>
            <w:tcW w:w="2361" w:type="dxa"/>
          </w:tcPr>
          <w:p w14:paraId="54FDDF5C" w14:textId="77777777" w:rsidR="00EB4B5A" w:rsidRPr="00EB4B5A" w:rsidRDefault="00EB4B5A" w:rsidP="00EB4B5A">
            <w:pPr>
              <w:rPr>
                <w:lang w:val="en-GB"/>
              </w:rPr>
            </w:pPr>
            <w:r w:rsidRPr="00EB4B5A">
              <w:rPr>
                <w:lang w:val="en-GB"/>
              </w:rPr>
              <w:t>0.60 (0.54-0.66)</w:t>
            </w:r>
          </w:p>
        </w:tc>
        <w:tc>
          <w:tcPr>
            <w:tcW w:w="2263" w:type="dxa"/>
          </w:tcPr>
          <w:p w14:paraId="2A6EA4FD" w14:textId="77777777" w:rsidR="00EB4B5A" w:rsidRPr="00EB4B5A" w:rsidRDefault="00EB4B5A" w:rsidP="00EB4B5A">
            <w:pPr>
              <w:rPr>
                <w:lang w:val="en-GB"/>
              </w:rPr>
            </w:pPr>
            <w:r w:rsidRPr="00EB4B5A">
              <w:rPr>
                <w:lang w:val="en-GB"/>
              </w:rPr>
              <w:t>0.61 (0.54-0.68)</w:t>
            </w:r>
          </w:p>
        </w:tc>
      </w:tr>
      <w:tr w:rsidR="00EB4B5A" w:rsidRPr="00EB4B5A" w14:paraId="460999FF" w14:textId="77777777" w:rsidTr="00365C12">
        <w:tc>
          <w:tcPr>
            <w:tcW w:w="2263" w:type="dxa"/>
          </w:tcPr>
          <w:p w14:paraId="5FC48656" w14:textId="77777777" w:rsidR="00EB4B5A" w:rsidRPr="00EB4B5A" w:rsidRDefault="00EB4B5A" w:rsidP="00EB4B5A">
            <w:pPr>
              <w:rPr>
                <w:lang w:val="en-GB"/>
              </w:rPr>
            </w:pPr>
            <w:r w:rsidRPr="00EB4B5A">
              <w:rPr>
                <w:lang w:val="en-GB"/>
              </w:rPr>
              <w:t>Country</w:t>
            </w:r>
          </w:p>
        </w:tc>
        <w:tc>
          <w:tcPr>
            <w:tcW w:w="2362" w:type="dxa"/>
          </w:tcPr>
          <w:p w14:paraId="11627F77" w14:textId="77777777" w:rsidR="00EB4B5A" w:rsidRPr="00EB4B5A" w:rsidRDefault="00EB4B5A" w:rsidP="00EB4B5A">
            <w:pPr>
              <w:rPr>
                <w:lang w:val="en-GB"/>
              </w:rPr>
            </w:pPr>
            <w:r w:rsidRPr="00EB4B5A">
              <w:rPr>
                <w:lang w:val="en-GB"/>
              </w:rPr>
              <w:t>ref</w:t>
            </w:r>
          </w:p>
        </w:tc>
        <w:tc>
          <w:tcPr>
            <w:tcW w:w="2384" w:type="dxa"/>
          </w:tcPr>
          <w:p w14:paraId="0AC0B321" w14:textId="77777777" w:rsidR="00EB4B5A" w:rsidRPr="00EB4B5A" w:rsidRDefault="00EB4B5A" w:rsidP="00EB4B5A">
            <w:pPr>
              <w:rPr>
                <w:lang w:val="en-GB"/>
              </w:rPr>
            </w:pPr>
            <w:r w:rsidRPr="00EB4B5A">
              <w:rPr>
                <w:lang w:val="en-GB"/>
              </w:rPr>
              <w:t>0.72 (0.65-0.80)</w:t>
            </w:r>
          </w:p>
        </w:tc>
        <w:tc>
          <w:tcPr>
            <w:tcW w:w="2361" w:type="dxa"/>
          </w:tcPr>
          <w:p w14:paraId="1DA4A3A0" w14:textId="77777777" w:rsidR="00EB4B5A" w:rsidRPr="00EB4B5A" w:rsidRDefault="00EB4B5A" w:rsidP="00EB4B5A">
            <w:pPr>
              <w:rPr>
                <w:lang w:val="en-GB"/>
              </w:rPr>
            </w:pPr>
            <w:r w:rsidRPr="00EB4B5A">
              <w:rPr>
                <w:lang w:val="en-GB"/>
              </w:rPr>
              <w:t>0.62 (0.56-0.68)</w:t>
            </w:r>
          </w:p>
        </w:tc>
        <w:tc>
          <w:tcPr>
            <w:tcW w:w="2361" w:type="dxa"/>
          </w:tcPr>
          <w:p w14:paraId="5025F229" w14:textId="77777777" w:rsidR="00EB4B5A" w:rsidRPr="00EB4B5A" w:rsidRDefault="00EB4B5A" w:rsidP="00EB4B5A">
            <w:pPr>
              <w:rPr>
                <w:lang w:val="en-GB"/>
              </w:rPr>
            </w:pPr>
            <w:r w:rsidRPr="00EB4B5A">
              <w:rPr>
                <w:lang w:val="en-GB"/>
              </w:rPr>
              <w:t>0.56 (0.51-0.62)</w:t>
            </w:r>
          </w:p>
        </w:tc>
        <w:tc>
          <w:tcPr>
            <w:tcW w:w="2263" w:type="dxa"/>
          </w:tcPr>
          <w:p w14:paraId="5AC80235" w14:textId="77777777" w:rsidR="00EB4B5A" w:rsidRPr="00EB4B5A" w:rsidRDefault="00EB4B5A" w:rsidP="00EB4B5A">
            <w:pPr>
              <w:rPr>
                <w:lang w:val="en-GB"/>
              </w:rPr>
            </w:pPr>
            <w:r w:rsidRPr="00EB4B5A">
              <w:rPr>
                <w:lang w:val="en-GB"/>
              </w:rPr>
              <w:t>0.54 (0.48-0.60)</w:t>
            </w:r>
          </w:p>
        </w:tc>
      </w:tr>
    </w:tbl>
    <w:p w14:paraId="58C05735" w14:textId="77777777" w:rsidR="00EB4B5A" w:rsidRDefault="00EB4B5A" w:rsidP="00EB4B5A">
      <w:pPr>
        <w:rPr>
          <w:sz w:val="24"/>
          <w:szCs w:val="24"/>
          <w:lang w:val="en-GB"/>
        </w:rPr>
      </w:pPr>
    </w:p>
    <w:p w14:paraId="6CCB560D" w14:textId="4FB11041" w:rsidR="00EB4B5A" w:rsidRDefault="00EB4B5A" w:rsidP="00EB4B5A">
      <w:pPr>
        <w:rPr>
          <w:sz w:val="24"/>
          <w:szCs w:val="24"/>
          <w:lang w:val="en-GB"/>
        </w:rPr>
      </w:pPr>
    </w:p>
    <w:p w14:paraId="56C97E3B" w14:textId="77777777" w:rsidR="00EB4B5A" w:rsidRPr="00EB4B5A" w:rsidRDefault="00EB4B5A" w:rsidP="00EB4B5A">
      <w:pPr>
        <w:rPr>
          <w:sz w:val="24"/>
          <w:szCs w:val="24"/>
          <w:lang w:val="en-GB"/>
        </w:rPr>
      </w:pPr>
    </w:p>
    <w:sectPr w:rsidR="00EB4B5A" w:rsidRPr="00EB4B5A" w:rsidSect="00EB4B5A">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37EC0" w14:textId="77777777" w:rsidR="00662AD6" w:rsidRDefault="00662AD6" w:rsidP="00DA199C">
      <w:pPr>
        <w:spacing w:after="0" w:line="240" w:lineRule="auto"/>
      </w:pPr>
      <w:r>
        <w:separator/>
      </w:r>
    </w:p>
  </w:endnote>
  <w:endnote w:type="continuationSeparator" w:id="0">
    <w:p w14:paraId="4C1AA600" w14:textId="77777777" w:rsidR="00662AD6" w:rsidRDefault="00662AD6" w:rsidP="00DA1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837774"/>
      <w:docPartObj>
        <w:docPartGallery w:val="Page Numbers (Bottom of Page)"/>
        <w:docPartUnique/>
      </w:docPartObj>
    </w:sdtPr>
    <w:sdtEndPr/>
    <w:sdtContent>
      <w:p w14:paraId="5A4527F8" w14:textId="743706B4" w:rsidR="0028123D" w:rsidRDefault="0028123D">
        <w:pPr>
          <w:pStyle w:val="Footer"/>
          <w:jc w:val="center"/>
        </w:pPr>
        <w:r>
          <w:fldChar w:fldCharType="begin"/>
        </w:r>
        <w:r>
          <w:instrText>PAGE   \* MERGEFORMAT</w:instrText>
        </w:r>
        <w:r>
          <w:fldChar w:fldCharType="separate"/>
        </w:r>
        <w:r>
          <w:t>2</w:t>
        </w:r>
        <w:r>
          <w:fldChar w:fldCharType="end"/>
        </w:r>
      </w:p>
    </w:sdtContent>
  </w:sdt>
  <w:p w14:paraId="3B9069C6" w14:textId="77777777" w:rsidR="0028123D" w:rsidRDefault="002812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B1A98" w14:textId="77777777" w:rsidR="00662AD6" w:rsidRDefault="00662AD6" w:rsidP="00DA199C">
      <w:pPr>
        <w:spacing w:after="0" w:line="240" w:lineRule="auto"/>
      </w:pPr>
      <w:r>
        <w:separator/>
      </w:r>
    </w:p>
  </w:footnote>
  <w:footnote w:type="continuationSeparator" w:id="0">
    <w:p w14:paraId="265DAB56" w14:textId="77777777" w:rsidR="00662AD6" w:rsidRDefault="00662AD6" w:rsidP="00DA19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24D3"/>
    <w:multiLevelType w:val="hybridMultilevel"/>
    <w:tmpl w:val="817A9B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021E4A"/>
    <w:multiLevelType w:val="hybridMultilevel"/>
    <w:tmpl w:val="939073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792592E"/>
    <w:multiLevelType w:val="hybridMultilevel"/>
    <w:tmpl w:val="063224C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FBC41F8"/>
    <w:multiLevelType w:val="hybridMultilevel"/>
    <w:tmpl w:val="B4967D2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2DA6F59"/>
    <w:multiLevelType w:val="hybridMultilevel"/>
    <w:tmpl w:val="282EDC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A8E7F23"/>
    <w:multiLevelType w:val="hybridMultilevel"/>
    <w:tmpl w:val="D7EE5B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GB" w:vendorID="64" w:dllVersion="6" w:nlCheck="1" w:checkStyle="0"/>
  <w:activeWritingStyle w:appName="MSWord" w:lang="en-GB" w:vendorID="64" w:dllVersion="0" w:nlCheck="1" w:checkStyle="0"/>
  <w:activeWritingStyle w:appName="MSWord" w:lang="es-E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US" w:vendorID="64" w:dllVersion="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EBE"/>
    <w:rsid w:val="000004C2"/>
    <w:rsid w:val="00003740"/>
    <w:rsid w:val="000073A0"/>
    <w:rsid w:val="00014EEF"/>
    <w:rsid w:val="0001552C"/>
    <w:rsid w:val="00024FE6"/>
    <w:rsid w:val="00027131"/>
    <w:rsid w:val="0003115E"/>
    <w:rsid w:val="00031535"/>
    <w:rsid w:val="00034769"/>
    <w:rsid w:val="00041C33"/>
    <w:rsid w:val="00041E9E"/>
    <w:rsid w:val="000470B8"/>
    <w:rsid w:val="00051910"/>
    <w:rsid w:val="00052FB3"/>
    <w:rsid w:val="00052FDC"/>
    <w:rsid w:val="00064DDF"/>
    <w:rsid w:val="000673B9"/>
    <w:rsid w:val="00091D0E"/>
    <w:rsid w:val="0009631D"/>
    <w:rsid w:val="000B32EF"/>
    <w:rsid w:val="000B3EFE"/>
    <w:rsid w:val="000B6FD6"/>
    <w:rsid w:val="000C0C90"/>
    <w:rsid w:val="000C47D2"/>
    <w:rsid w:val="000E2631"/>
    <w:rsid w:val="000F1DBC"/>
    <w:rsid w:val="000F49E5"/>
    <w:rsid w:val="000F5F5A"/>
    <w:rsid w:val="000F7F05"/>
    <w:rsid w:val="001018E5"/>
    <w:rsid w:val="00104CE2"/>
    <w:rsid w:val="00113D95"/>
    <w:rsid w:val="00113F37"/>
    <w:rsid w:val="001145B6"/>
    <w:rsid w:val="001156B7"/>
    <w:rsid w:val="00116967"/>
    <w:rsid w:val="0012617D"/>
    <w:rsid w:val="00137A3B"/>
    <w:rsid w:val="00140388"/>
    <w:rsid w:val="0014235C"/>
    <w:rsid w:val="001519AB"/>
    <w:rsid w:val="0015536C"/>
    <w:rsid w:val="001557F2"/>
    <w:rsid w:val="00157919"/>
    <w:rsid w:val="001612B0"/>
    <w:rsid w:val="00161F2D"/>
    <w:rsid w:val="00162C6C"/>
    <w:rsid w:val="00183FE6"/>
    <w:rsid w:val="00185E2E"/>
    <w:rsid w:val="00186298"/>
    <w:rsid w:val="001865D8"/>
    <w:rsid w:val="0019233C"/>
    <w:rsid w:val="00195809"/>
    <w:rsid w:val="001A13DE"/>
    <w:rsid w:val="001B1788"/>
    <w:rsid w:val="001B1BBA"/>
    <w:rsid w:val="001B4A95"/>
    <w:rsid w:val="001B4CCA"/>
    <w:rsid w:val="001C33EA"/>
    <w:rsid w:val="001D2D59"/>
    <w:rsid w:val="001D320B"/>
    <w:rsid w:val="001F52E9"/>
    <w:rsid w:val="00201DD4"/>
    <w:rsid w:val="00204E97"/>
    <w:rsid w:val="00215AB0"/>
    <w:rsid w:val="00217649"/>
    <w:rsid w:val="00225004"/>
    <w:rsid w:val="00225724"/>
    <w:rsid w:val="00225FA0"/>
    <w:rsid w:val="0023080D"/>
    <w:rsid w:val="0023185C"/>
    <w:rsid w:val="00240326"/>
    <w:rsid w:val="00241391"/>
    <w:rsid w:val="00244159"/>
    <w:rsid w:val="00256270"/>
    <w:rsid w:val="0028123D"/>
    <w:rsid w:val="00282B86"/>
    <w:rsid w:val="00283F2D"/>
    <w:rsid w:val="002A4F52"/>
    <w:rsid w:val="002B3F0E"/>
    <w:rsid w:val="002B5D0E"/>
    <w:rsid w:val="002C557B"/>
    <w:rsid w:val="002C6110"/>
    <w:rsid w:val="002C79CD"/>
    <w:rsid w:val="002D54D1"/>
    <w:rsid w:val="002E65AE"/>
    <w:rsid w:val="002F6C76"/>
    <w:rsid w:val="003075F5"/>
    <w:rsid w:val="00322572"/>
    <w:rsid w:val="00323B3E"/>
    <w:rsid w:val="003257B8"/>
    <w:rsid w:val="00336AD5"/>
    <w:rsid w:val="0034032B"/>
    <w:rsid w:val="003531C9"/>
    <w:rsid w:val="00360309"/>
    <w:rsid w:val="00384203"/>
    <w:rsid w:val="00384BA4"/>
    <w:rsid w:val="003935B8"/>
    <w:rsid w:val="003A174D"/>
    <w:rsid w:val="003A6A17"/>
    <w:rsid w:val="003B66F6"/>
    <w:rsid w:val="003C5375"/>
    <w:rsid w:val="003C6D19"/>
    <w:rsid w:val="003C7EE0"/>
    <w:rsid w:val="003D4486"/>
    <w:rsid w:val="003F237A"/>
    <w:rsid w:val="00403C97"/>
    <w:rsid w:val="00407848"/>
    <w:rsid w:val="00412EC1"/>
    <w:rsid w:val="004158E3"/>
    <w:rsid w:val="00415901"/>
    <w:rsid w:val="00416A0E"/>
    <w:rsid w:val="00417196"/>
    <w:rsid w:val="00420FB2"/>
    <w:rsid w:val="004213FE"/>
    <w:rsid w:val="004223CC"/>
    <w:rsid w:val="0043009F"/>
    <w:rsid w:val="00432114"/>
    <w:rsid w:val="00437CB7"/>
    <w:rsid w:val="00440DBA"/>
    <w:rsid w:val="00442540"/>
    <w:rsid w:val="0045099C"/>
    <w:rsid w:val="00452479"/>
    <w:rsid w:val="004601D0"/>
    <w:rsid w:val="0046296B"/>
    <w:rsid w:val="004660EC"/>
    <w:rsid w:val="00466A1D"/>
    <w:rsid w:val="00473746"/>
    <w:rsid w:val="00476412"/>
    <w:rsid w:val="00486539"/>
    <w:rsid w:val="004867F6"/>
    <w:rsid w:val="004876F2"/>
    <w:rsid w:val="004A2E75"/>
    <w:rsid w:val="004A602E"/>
    <w:rsid w:val="004B1F02"/>
    <w:rsid w:val="004C045A"/>
    <w:rsid w:val="004D3519"/>
    <w:rsid w:val="004D3914"/>
    <w:rsid w:val="004E015B"/>
    <w:rsid w:val="004E289D"/>
    <w:rsid w:val="004F668F"/>
    <w:rsid w:val="004F74AD"/>
    <w:rsid w:val="00501F99"/>
    <w:rsid w:val="005127F3"/>
    <w:rsid w:val="0051681D"/>
    <w:rsid w:val="00520524"/>
    <w:rsid w:val="00523234"/>
    <w:rsid w:val="00530E83"/>
    <w:rsid w:val="005436C1"/>
    <w:rsid w:val="005474C9"/>
    <w:rsid w:val="005524B6"/>
    <w:rsid w:val="005525D5"/>
    <w:rsid w:val="0056009F"/>
    <w:rsid w:val="00561D6F"/>
    <w:rsid w:val="00563617"/>
    <w:rsid w:val="00563FF8"/>
    <w:rsid w:val="0056530D"/>
    <w:rsid w:val="005749DB"/>
    <w:rsid w:val="005817A1"/>
    <w:rsid w:val="00582601"/>
    <w:rsid w:val="00586094"/>
    <w:rsid w:val="00587135"/>
    <w:rsid w:val="005931DE"/>
    <w:rsid w:val="00597BE1"/>
    <w:rsid w:val="00597BE4"/>
    <w:rsid w:val="005A2135"/>
    <w:rsid w:val="005C5176"/>
    <w:rsid w:val="005C5A4D"/>
    <w:rsid w:val="005C6E92"/>
    <w:rsid w:val="005D1B51"/>
    <w:rsid w:val="005D624D"/>
    <w:rsid w:val="005F56E3"/>
    <w:rsid w:val="00614D37"/>
    <w:rsid w:val="00624CC0"/>
    <w:rsid w:val="00655443"/>
    <w:rsid w:val="00662AD6"/>
    <w:rsid w:val="00667F1D"/>
    <w:rsid w:val="0067025C"/>
    <w:rsid w:val="0067261B"/>
    <w:rsid w:val="006923FF"/>
    <w:rsid w:val="006944A4"/>
    <w:rsid w:val="00695BD1"/>
    <w:rsid w:val="006A6441"/>
    <w:rsid w:val="006B2ADE"/>
    <w:rsid w:val="006B69AA"/>
    <w:rsid w:val="006D3D5C"/>
    <w:rsid w:val="006E2991"/>
    <w:rsid w:val="006E5481"/>
    <w:rsid w:val="007011C4"/>
    <w:rsid w:val="00705035"/>
    <w:rsid w:val="007115FD"/>
    <w:rsid w:val="0071205B"/>
    <w:rsid w:val="00713A31"/>
    <w:rsid w:val="00714310"/>
    <w:rsid w:val="00725758"/>
    <w:rsid w:val="00726E4B"/>
    <w:rsid w:val="007377E9"/>
    <w:rsid w:val="00742F73"/>
    <w:rsid w:val="0074732E"/>
    <w:rsid w:val="00750E31"/>
    <w:rsid w:val="0075793D"/>
    <w:rsid w:val="00763F36"/>
    <w:rsid w:val="007820CF"/>
    <w:rsid w:val="0078293B"/>
    <w:rsid w:val="007915E3"/>
    <w:rsid w:val="007A554F"/>
    <w:rsid w:val="007B0284"/>
    <w:rsid w:val="007B0E43"/>
    <w:rsid w:val="007B16AE"/>
    <w:rsid w:val="007B4808"/>
    <w:rsid w:val="007C25CF"/>
    <w:rsid w:val="007C28B3"/>
    <w:rsid w:val="007C47DF"/>
    <w:rsid w:val="007C6FA3"/>
    <w:rsid w:val="007C7E17"/>
    <w:rsid w:val="007D29BD"/>
    <w:rsid w:val="007D583A"/>
    <w:rsid w:val="007D7937"/>
    <w:rsid w:val="007E02DB"/>
    <w:rsid w:val="007E1408"/>
    <w:rsid w:val="007F2B25"/>
    <w:rsid w:val="00806307"/>
    <w:rsid w:val="008076DF"/>
    <w:rsid w:val="00810E9F"/>
    <w:rsid w:val="0082016B"/>
    <w:rsid w:val="00820F60"/>
    <w:rsid w:val="00835D22"/>
    <w:rsid w:val="0084091A"/>
    <w:rsid w:val="00840AFD"/>
    <w:rsid w:val="00841E75"/>
    <w:rsid w:val="00845B6D"/>
    <w:rsid w:val="00846B1A"/>
    <w:rsid w:val="00857733"/>
    <w:rsid w:val="00861013"/>
    <w:rsid w:val="008614EB"/>
    <w:rsid w:val="00861E9C"/>
    <w:rsid w:val="008676CE"/>
    <w:rsid w:val="00873567"/>
    <w:rsid w:val="008761B0"/>
    <w:rsid w:val="008763A1"/>
    <w:rsid w:val="00887946"/>
    <w:rsid w:val="00887A4F"/>
    <w:rsid w:val="008916CD"/>
    <w:rsid w:val="008A5175"/>
    <w:rsid w:val="008A5BE0"/>
    <w:rsid w:val="008C5404"/>
    <w:rsid w:val="008E20F0"/>
    <w:rsid w:val="008E4D1F"/>
    <w:rsid w:val="008F1390"/>
    <w:rsid w:val="008F5949"/>
    <w:rsid w:val="008F5F4C"/>
    <w:rsid w:val="009023E2"/>
    <w:rsid w:val="009039D5"/>
    <w:rsid w:val="00911CEC"/>
    <w:rsid w:val="009223A2"/>
    <w:rsid w:val="00924A82"/>
    <w:rsid w:val="00927E8E"/>
    <w:rsid w:val="0094703D"/>
    <w:rsid w:val="009516D8"/>
    <w:rsid w:val="00952098"/>
    <w:rsid w:val="009543EA"/>
    <w:rsid w:val="0096638B"/>
    <w:rsid w:val="00971A72"/>
    <w:rsid w:val="009777AF"/>
    <w:rsid w:val="00982051"/>
    <w:rsid w:val="0098365A"/>
    <w:rsid w:val="00986859"/>
    <w:rsid w:val="00987AA0"/>
    <w:rsid w:val="0099097B"/>
    <w:rsid w:val="00997AC3"/>
    <w:rsid w:val="009A3836"/>
    <w:rsid w:val="009B0069"/>
    <w:rsid w:val="009B7EBE"/>
    <w:rsid w:val="009C6728"/>
    <w:rsid w:val="009D15B3"/>
    <w:rsid w:val="009D1714"/>
    <w:rsid w:val="009D739B"/>
    <w:rsid w:val="009E4537"/>
    <w:rsid w:val="009F5A29"/>
    <w:rsid w:val="009F7C4F"/>
    <w:rsid w:val="00A14E5F"/>
    <w:rsid w:val="00A213BA"/>
    <w:rsid w:val="00A21EF7"/>
    <w:rsid w:val="00A452CD"/>
    <w:rsid w:val="00A52A8E"/>
    <w:rsid w:val="00A604D4"/>
    <w:rsid w:val="00A6795C"/>
    <w:rsid w:val="00A71BA8"/>
    <w:rsid w:val="00A71E83"/>
    <w:rsid w:val="00A73E38"/>
    <w:rsid w:val="00A806D7"/>
    <w:rsid w:val="00A87697"/>
    <w:rsid w:val="00A925B4"/>
    <w:rsid w:val="00A958B1"/>
    <w:rsid w:val="00A96AB0"/>
    <w:rsid w:val="00AA15AB"/>
    <w:rsid w:val="00AB57EB"/>
    <w:rsid w:val="00AB6CCB"/>
    <w:rsid w:val="00AB7A7B"/>
    <w:rsid w:val="00AC1302"/>
    <w:rsid w:val="00AE1C19"/>
    <w:rsid w:val="00AF579F"/>
    <w:rsid w:val="00AF6C87"/>
    <w:rsid w:val="00B052F7"/>
    <w:rsid w:val="00B06ABF"/>
    <w:rsid w:val="00B22278"/>
    <w:rsid w:val="00B3002C"/>
    <w:rsid w:val="00B4754E"/>
    <w:rsid w:val="00B51BE7"/>
    <w:rsid w:val="00B53829"/>
    <w:rsid w:val="00B547C2"/>
    <w:rsid w:val="00B76F0C"/>
    <w:rsid w:val="00B7741B"/>
    <w:rsid w:val="00B83400"/>
    <w:rsid w:val="00B90874"/>
    <w:rsid w:val="00B95957"/>
    <w:rsid w:val="00B97213"/>
    <w:rsid w:val="00BB24C3"/>
    <w:rsid w:val="00BC1DC0"/>
    <w:rsid w:val="00BC4811"/>
    <w:rsid w:val="00BE7033"/>
    <w:rsid w:val="00BF647A"/>
    <w:rsid w:val="00C0226F"/>
    <w:rsid w:val="00C11B78"/>
    <w:rsid w:val="00C13D88"/>
    <w:rsid w:val="00C13E1E"/>
    <w:rsid w:val="00C27C16"/>
    <w:rsid w:val="00C33D47"/>
    <w:rsid w:val="00C421C1"/>
    <w:rsid w:val="00C4781C"/>
    <w:rsid w:val="00C5087A"/>
    <w:rsid w:val="00C566F4"/>
    <w:rsid w:val="00C576F3"/>
    <w:rsid w:val="00C62876"/>
    <w:rsid w:val="00C73299"/>
    <w:rsid w:val="00C73E9E"/>
    <w:rsid w:val="00C76831"/>
    <w:rsid w:val="00C7683E"/>
    <w:rsid w:val="00C80CD4"/>
    <w:rsid w:val="00C82E6D"/>
    <w:rsid w:val="00C878A3"/>
    <w:rsid w:val="00CB2B11"/>
    <w:rsid w:val="00CB5302"/>
    <w:rsid w:val="00CC2ABB"/>
    <w:rsid w:val="00CC2C8E"/>
    <w:rsid w:val="00CC53F3"/>
    <w:rsid w:val="00CD048F"/>
    <w:rsid w:val="00CD7F77"/>
    <w:rsid w:val="00CE5FA7"/>
    <w:rsid w:val="00CF34F4"/>
    <w:rsid w:val="00CF63D0"/>
    <w:rsid w:val="00CF779A"/>
    <w:rsid w:val="00D15B4F"/>
    <w:rsid w:val="00D15E0A"/>
    <w:rsid w:val="00D227A5"/>
    <w:rsid w:val="00D27552"/>
    <w:rsid w:val="00D3317F"/>
    <w:rsid w:val="00D4115E"/>
    <w:rsid w:val="00D45A79"/>
    <w:rsid w:val="00D5207E"/>
    <w:rsid w:val="00D5251D"/>
    <w:rsid w:val="00D60B1D"/>
    <w:rsid w:val="00D62500"/>
    <w:rsid w:val="00D85F0A"/>
    <w:rsid w:val="00D9232D"/>
    <w:rsid w:val="00D93784"/>
    <w:rsid w:val="00DA199C"/>
    <w:rsid w:val="00DA3616"/>
    <w:rsid w:val="00DB0BA2"/>
    <w:rsid w:val="00DE4A29"/>
    <w:rsid w:val="00E0182A"/>
    <w:rsid w:val="00E02701"/>
    <w:rsid w:val="00E12EBE"/>
    <w:rsid w:val="00E151DB"/>
    <w:rsid w:val="00E15881"/>
    <w:rsid w:val="00E17C28"/>
    <w:rsid w:val="00E20324"/>
    <w:rsid w:val="00E20A91"/>
    <w:rsid w:val="00E21902"/>
    <w:rsid w:val="00E34D37"/>
    <w:rsid w:val="00E34FB0"/>
    <w:rsid w:val="00E408D0"/>
    <w:rsid w:val="00E4268C"/>
    <w:rsid w:val="00E44EE8"/>
    <w:rsid w:val="00E6121F"/>
    <w:rsid w:val="00E61A52"/>
    <w:rsid w:val="00E62E68"/>
    <w:rsid w:val="00E71033"/>
    <w:rsid w:val="00E73189"/>
    <w:rsid w:val="00E82111"/>
    <w:rsid w:val="00E82CA7"/>
    <w:rsid w:val="00E9107F"/>
    <w:rsid w:val="00E96100"/>
    <w:rsid w:val="00EA4F48"/>
    <w:rsid w:val="00EB08EA"/>
    <w:rsid w:val="00EB496D"/>
    <w:rsid w:val="00EB4B5A"/>
    <w:rsid w:val="00EB699E"/>
    <w:rsid w:val="00EB6C99"/>
    <w:rsid w:val="00EB7440"/>
    <w:rsid w:val="00EC1C4E"/>
    <w:rsid w:val="00EC28EE"/>
    <w:rsid w:val="00EC5189"/>
    <w:rsid w:val="00ED2749"/>
    <w:rsid w:val="00ED533B"/>
    <w:rsid w:val="00ED749F"/>
    <w:rsid w:val="00EE254B"/>
    <w:rsid w:val="00EE503C"/>
    <w:rsid w:val="00EE6C20"/>
    <w:rsid w:val="00EF1E7D"/>
    <w:rsid w:val="00EF32C4"/>
    <w:rsid w:val="00EF5AAD"/>
    <w:rsid w:val="00F03F1B"/>
    <w:rsid w:val="00F1101D"/>
    <w:rsid w:val="00F15282"/>
    <w:rsid w:val="00F15FDF"/>
    <w:rsid w:val="00F215D5"/>
    <w:rsid w:val="00F2690B"/>
    <w:rsid w:val="00F27503"/>
    <w:rsid w:val="00F27DC2"/>
    <w:rsid w:val="00F33731"/>
    <w:rsid w:val="00F347B9"/>
    <w:rsid w:val="00F34ACD"/>
    <w:rsid w:val="00F46232"/>
    <w:rsid w:val="00F47FA4"/>
    <w:rsid w:val="00F5649F"/>
    <w:rsid w:val="00F65A13"/>
    <w:rsid w:val="00F65AD1"/>
    <w:rsid w:val="00F90A82"/>
    <w:rsid w:val="00F90E7A"/>
    <w:rsid w:val="00F91DE4"/>
    <w:rsid w:val="00F96FBB"/>
    <w:rsid w:val="00FB08E9"/>
    <w:rsid w:val="00FC2BBA"/>
    <w:rsid w:val="00FD55F6"/>
    <w:rsid w:val="00FE3C59"/>
    <w:rsid w:val="00FF751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3C612"/>
  <w15:chartTrackingRefBased/>
  <w15:docId w15:val="{7E66B6F3-5823-434A-B852-16F1A383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A95"/>
  </w:style>
  <w:style w:type="paragraph" w:styleId="Heading1">
    <w:name w:val="heading 1"/>
    <w:basedOn w:val="Normal"/>
    <w:next w:val="Normal"/>
    <w:link w:val="Heading1Char"/>
    <w:uiPriority w:val="9"/>
    <w:qFormat/>
    <w:rsid w:val="001612B0"/>
    <w:pPr>
      <w:spacing w:line="480" w:lineRule="auto"/>
      <w:outlineLvl w:val="0"/>
    </w:pPr>
    <w:rPr>
      <w:b/>
      <w:bCs/>
      <w:sz w:val="28"/>
      <w:szCs w:val="28"/>
      <w:lang w:val="en-GB"/>
    </w:rPr>
  </w:style>
  <w:style w:type="paragraph" w:styleId="Heading2">
    <w:name w:val="heading 2"/>
    <w:basedOn w:val="Normal"/>
    <w:next w:val="Normal"/>
    <w:link w:val="Heading2Char"/>
    <w:uiPriority w:val="9"/>
    <w:unhideWhenUsed/>
    <w:qFormat/>
    <w:rsid w:val="001612B0"/>
    <w:pPr>
      <w:spacing w:line="480" w:lineRule="auto"/>
      <w:outlineLvl w:val="1"/>
    </w:pPr>
    <w:rPr>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1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99C"/>
    <w:pPr>
      <w:tabs>
        <w:tab w:val="center" w:pos="4252"/>
        <w:tab w:val="right" w:pos="8504"/>
      </w:tabs>
      <w:spacing w:after="0" w:line="240" w:lineRule="auto"/>
    </w:pPr>
  </w:style>
  <w:style w:type="character" w:customStyle="1" w:styleId="HeaderChar">
    <w:name w:val="Header Char"/>
    <w:basedOn w:val="DefaultParagraphFont"/>
    <w:link w:val="Header"/>
    <w:uiPriority w:val="99"/>
    <w:rsid w:val="00DA199C"/>
  </w:style>
  <w:style w:type="paragraph" w:styleId="Footer">
    <w:name w:val="footer"/>
    <w:basedOn w:val="Normal"/>
    <w:link w:val="FooterChar"/>
    <w:uiPriority w:val="99"/>
    <w:unhideWhenUsed/>
    <w:rsid w:val="00DA199C"/>
    <w:pPr>
      <w:tabs>
        <w:tab w:val="center" w:pos="4252"/>
        <w:tab w:val="right" w:pos="8504"/>
      </w:tabs>
      <w:spacing w:after="0" w:line="240" w:lineRule="auto"/>
    </w:pPr>
  </w:style>
  <w:style w:type="character" w:customStyle="1" w:styleId="FooterChar">
    <w:name w:val="Footer Char"/>
    <w:basedOn w:val="DefaultParagraphFont"/>
    <w:link w:val="Footer"/>
    <w:uiPriority w:val="99"/>
    <w:rsid w:val="00DA199C"/>
  </w:style>
  <w:style w:type="paragraph" w:styleId="BalloonText">
    <w:name w:val="Balloon Text"/>
    <w:basedOn w:val="Normal"/>
    <w:link w:val="BalloonTextChar"/>
    <w:uiPriority w:val="99"/>
    <w:semiHidden/>
    <w:unhideWhenUsed/>
    <w:rsid w:val="00E34D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4D37"/>
    <w:rPr>
      <w:rFonts w:ascii="Segoe UI" w:hAnsi="Segoe UI" w:cs="Segoe UI"/>
      <w:sz w:val="18"/>
      <w:szCs w:val="18"/>
    </w:rPr>
  </w:style>
  <w:style w:type="character" w:styleId="CommentReference">
    <w:name w:val="annotation reference"/>
    <w:basedOn w:val="DefaultParagraphFont"/>
    <w:uiPriority w:val="99"/>
    <w:semiHidden/>
    <w:unhideWhenUsed/>
    <w:rsid w:val="00E34D37"/>
    <w:rPr>
      <w:sz w:val="16"/>
      <w:szCs w:val="16"/>
    </w:rPr>
  </w:style>
  <w:style w:type="paragraph" w:styleId="CommentText">
    <w:name w:val="annotation text"/>
    <w:basedOn w:val="Normal"/>
    <w:link w:val="CommentTextChar"/>
    <w:uiPriority w:val="99"/>
    <w:semiHidden/>
    <w:unhideWhenUsed/>
    <w:rsid w:val="00E34D37"/>
    <w:pPr>
      <w:spacing w:line="240" w:lineRule="auto"/>
    </w:pPr>
    <w:rPr>
      <w:sz w:val="20"/>
      <w:szCs w:val="20"/>
    </w:rPr>
  </w:style>
  <w:style w:type="character" w:customStyle="1" w:styleId="CommentTextChar">
    <w:name w:val="Comment Text Char"/>
    <w:basedOn w:val="DefaultParagraphFont"/>
    <w:link w:val="CommentText"/>
    <w:uiPriority w:val="99"/>
    <w:semiHidden/>
    <w:rsid w:val="00E34D37"/>
    <w:rPr>
      <w:sz w:val="20"/>
      <w:szCs w:val="20"/>
    </w:rPr>
  </w:style>
  <w:style w:type="paragraph" w:styleId="CommentSubject">
    <w:name w:val="annotation subject"/>
    <w:basedOn w:val="CommentText"/>
    <w:next w:val="CommentText"/>
    <w:link w:val="CommentSubjectChar"/>
    <w:uiPriority w:val="99"/>
    <w:semiHidden/>
    <w:unhideWhenUsed/>
    <w:rsid w:val="00E34D37"/>
    <w:rPr>
      <w:b/>
      <w:bCs/>
    </w:rPr>
  </w:style>
  <w:style w:type="character" w:customStyle="1" w:styleId="CommentSubjectChar">
    <w:name w:val="Comment Subject Char"/>
    <w:basedOn w:val="CommentTextChar"/>
    <w:link w:val="CommentSubject"/>
    <w:uiPriority w:val="99"/>
    <w:semiHidden/>
    <w:rsid w:val="00E34D37"/>
    <w:rPr>
      <w:b/>
      <w:bCs/>
      <w:sz w:val="20"/>
      <w:szCs w:val="20"/>
    </w:rPr>
  </w:style>
  <w:style w:type="character" w:styleId="Hyperlink">
    <w:name w:val="Hyperlink"/>
    <w:basedOn w:val="DefaultParagraphFont"/>
    <w:uiPriority w:val="99"/>
    <w:unhideWhenUsed/>
    <w:rsid w:val="00B06ABF"/>
    <w:rPr>
      <w:color w:val="0563C1" w:themeColor="hyperlink"/>
      <w:u w:val="single"/>
    </w:rPr>
  </w:style>
  <w:style w:type="character" w:styleId="UnresolvedMention">
    <w:name w:val="Unresolved Mention"/>
    <w:basedOn w:val="DefaultParagraphFont"/>
    <w:uiPriority w:val="99"/>
    <w:semiHidden/>
    <w:unhideWhenUsed/>
    <w:rsid w:val="001B4A95"/>
    <w:rPr>
      <w:color w:val="605E5C"/>
      <w:shd w:val="clear" w:color="auto" w:fill="E1DFDD"/>
    </w:rPr>
  </w:style>
  <w:style w:type="paragraph" w:styleId="ListParagraph">
    <w:name w:val="List Paragraph"/>
    <w:basedOn w:val="Normal"/>
    <w:uiPriority w:val="34"/>
    <w:qFormat/>
    <w:rsid w:val="000B6FD6"/>
    <w:pPr>
      <w:ind w:left="720"/>
      <w:contextualSpacing/>
    </w:pPr>
  </w:style>
  <w:style w:type="table" w:customStyle="1" w:styleId="TableGrid1">
    <w:name w:val="Table Grid1"/>
    <w:basedOn w:val="TableNormal"/>
    <w:next w:val="TableGrid"/>
    <w:uiPriority w:val="39"/>
    <w:rsid w:val="00EB4B5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EB4B5A"/>
  </w:style>
  <w:style w:type="table" w:customStyle="1" w:styleId="TableGrid2">
    <w:name w:val="Table Grid2"/>
    <w:basedOn w:val="TableNormal"/>
    <w:next w:val="TableGrid"/>
    <w:uiPriority w:val="39"/>
    <w:rsid w:val="00EB4B5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B4B5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B4B5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4B5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612B0"/>
    <w:pPr>
      <w:tabs>
        <w:tab w:val="left" w:pos="3108"/>
      </w:tabs>
      <w:spacing w:line="480" w:lineRule="auto"/>
    </w:pPr>
    <w:rPr>
      <w:b/>
      <w:bCs/>
      <w:sz w:val="36"/>
      <w:szCs w:val="36"/>
      <w:lang w:val="en-GB"/>
    </w:rPr>
  </w:style>
  <w:style w:type="character" w:customStyle="1" w:styleId="TitleChar">
    <w:name w:val="Title Char"/>
    <w:basedOn w:val="DefaultParagraphFont"/>
    <w:link w:val="Title"/>
    <w:uiPriority w:val="10"/>
    <w:rsid w:val="001612B0"/>
    <w:rPr>
      <w:b/>
      <w:bCs/>
      <w:sz w:val="36"/>
      <w:szCs w:val="36"/>
      <w:lang w:val="en-GB"/>
    </w:rPr>
  </w:style>
  <w:style w:type="character" w:customStyle="1" w:styleId="Heading1Char">
    <w:name w:val="Heading 1 Char"/>
    <w:basedOn w:val="DefaultParagraphFont"/>
    <w:link w:val="Heading1"/>
    <w:uiPriority w:val="9"/>
    <w:rsid w:val="001612B0"/>
    <w:rPr>
      <w:b/>
      <w:bCs/>
      <w:sz w:val="28"/>
      <w:szCs w:val="28"/>
      <w:lang w:val="en-GB"/>
    </w:rPr>
  </w:style>
  <w:style w:type="character" w:customStyle="1" w:styleId="Heading2Char">
    <w:name w:val="Heading 2 Char"/>
    <w:basedOn w:val="DefaultParagraphFont"/>
    <w:link w:val="Heading2"/>
    <w:uiPriority w:val="9"/>
    <w:rsid w:val="001612B0"/>
    <w:rPr>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opezbu@unizar.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2595D-28F6-43F7-9F55-995D93EFC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37</Pages>
  <Words>16808</Words>
  <Characters>95810</Characters>
  <Application>Microsoft Office Word</Application>
  <DocSecurity>0</DocSecurity>
  <Lines>798</Lines>
  <Paragraphs>224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LÓPEZ BUENO</dc:creator>
  <cp:keywords/>
  <dc:description/>
  <cp:lastModifiedBy>Blanshard, Lisa</cp:lastModifiedBy>
  <cp:revision>5</cp:revision>
  <dcterms:created xsi:type="dcterms:W3CDTF">2021-08-23T07:12:00Z</dcterms:created>
  <dcterms:modified xsi:type="dcterms:W3CDTF">2021-08-23T10:06:00Z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http://www.zotero.org/styles/elsevier-vancouver</vt:lpwstr>
  </property>
  <property fmtid="{D5CDD505-2E9C-101B-9397-08002B2CF9AE}" pid="3" name="Mendeley Recent Style Name 0_1">
    <vt:lpwstr>Elsevier - Vancouver</vt:lpwstr>
  </property>
  <property fmtid="{D5CDD505-2E9C-101B-9397-08002B2CF9AE}" pid="4" name="Mendeley Recent Style Id 1_1">
    <vt:lpwstr>http://www.zotero.org/styles/european-child-and-adolescent-psychiatry</vt:lpwstr>
  </property>
  <property fmtid="{D5CDD505-2E9C-101B-9397-08002B2CF9AE}" pid="5" name="Mendeley Recent Style Name 1_1">
    <vt:lpwstr>European Child &amp; Adolescent Psychiatry</vt:lpwstr>
  </property>
  <property fmtid="{D5CDD505-2E9C-101B-9397-08002B2CF9AE}" pid="6" name="Mendeley Recent Style Id 2_1">
    <vt:lpwstr>http://www.zotero.org/styles/international-journal-of-environmental-research-and-public-health</vt:lpwstr>
  </property>
  <property fmtid="{D5CDD505-2E9C-101B-9397-08002B2CF9AE}" pid="7" name="Mendeley Recent Style Name 2_1">
    <vt:lpwstr>International Journal of Environmental Research and Public Health</vt:lpwstr>
  </property>
  <property fmtid="{D5CDD505-2E9C-101B-9397-08002B2CF9AE}" pid="8" name="Mendeley Recent Style Id 3_1">
    <vt:lpwstr>http://www.zotero.org/styles/jama</vt:lpwstr>
  </property>
  <property fmtid="{D5CDD505-2E9C-101B-9397-08002B2CF9AE}" pid="9" name="Mendeley Recent Style Name 3_1">
    <vt:lpwstr>JAMA (The Journal of the American Medical Association)</vt:lpwstr>
  </property>
  <property fmtid="{D5CDD505-2E9C-101B-9397-08002B2CF9AE}" pid="10" name="Mendeley Recent Style Id 4_1">
    <vt:lpwstr>http://www.zotero.org/styles/journal-of-adolescent-health</vt:lpwstr>
  </property>
  <property fmtid="{D5CDD505-2E9C-101B-9397-08002B2CF9AE}" pid="11" name="Mendeley Recent Style Name 4_1">
    <vt:lpwstr>Journal of Adolescent Health</vt:lpwstr>
  </property>
  <property fmtid="{D5CDD505-2E9C-101B-9397-08002B2CF9AE}" pid="12" name="Mendeley Recent Style Id 5_1">
    <vt:lpwstr>http://www.zotero.org/styles/journal-of-science-and-medicine-in-sport</vt:lpwstr>
  </property>
  <property fmtid="{D5CDD505-2E9C-101B-9397-08002B2CF9AE}" pid="13" name="Mendeley Recent Style Name 5_1">
    <vt:lpwstr>Journal of Science and Medicine in Sport</vt:lpwstr>
  </property>
  <property fmtid="{D5CDD505-2E9C-101B-9397-08002B2CF9AE}" pid="14" name="Mendeley Recent Style Id 6_1">
    <vt:lpwstr>http://www.zotero.org/styles/journal-of-sport-and-health-science</vt:lpwstr>
  </property>
  <property fmtid="{D5CDD505-2E9C-101B-9397-08002B2CF9AE}" pid="15" name="Mendeley Recent Style Name 6_1">
    <vt:lpwstr>Journal of Sport and Health Science</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http://www.zotero.org/styles/the-lancet</vt:lpwstr>
  </property>
  <property fmtid="{D5CDD505-2E9C-101B-9397-08002B2CF9AE}" pid="19" name="Mendeley Recent Style Name 8_1">
    <vt:lpwstr>The Lancet</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038823ef-84d5-3a48-ae5d-9efeb9fa631e</vt:lpwstr>
  </property>
  <property fmtid="{D5CDD505-2E9C-101B-9397-08002B2CF9AE}" pid="24" name="Mendeley Citation Style_1">
    <vt:lpwstr>http://www.zotero.org/styles/european-child-and-adolescent-psychiatry</vt:lpwstr>
  </property>
</Properties>
</file>