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424D7" w14:textId="7106080B" w:rsidR="00937EA2" w:rsidRPr="00162B16" w:rsidRDefault="001C6D9C" w:rsidP="00756293">
      <w:pPr>
        <w:pStyle w:val="MDPI11articletype"/>
        <w:rPr>
          <w:color w:val="auto"/>
        </w:rPr>
      </w:pPr>
      <w:bookmarkStart w:id="0" w:name="_Hlk74658798"/>
      <w:bookmarkStart w:id="1" w:name="_Hlk74658755"/>
      <w:r w:rsidRPr="00162B16">
        <w:rPr>
          <w:color w:val="auto"/>
        </w:rPr>
        <w:t>Research</w:t>
      </w:r>
    </w:p>
    <w:p w14:paraId="01BE048A" w14:textId="1389075A" w:rsidR="001C6D9C" w:rsidRPr="00162B16" w:rsidRDefault="001C6D9C" w:rsidP="00D2168E">
      <w:pPr>
        <w:pStyle w:val="MDPI12title"/>
        <w:rPr>
          <w:color w:val="auto"/>
        </w:rPr>
      </w:pPr>
      <w:r w:rsidRPr="00162B16">
        <w:rPr>
          <w:color w:val="auto"/>
        </w:rPr>
        <w:t xml:space="preserve">Physical </w:t>
      </w:r>
      <w:r w:rsidR="00906340" w:rsidRPr="00162B16">
        <w:rPr>
          <w:color w:val="auto"/>
        </w:rPr>
        <w:t>A</w:t>
      </w:r>
      <w:r w:rsidRPr="00162B16">
        <w:rPr>
          <w:color w:val="auto"/>
        </w:rPr>
        <w:t xml:space="preserve">ctivity </w:t>
      </w:r>
      <w:r w:rsidR="00906340" w:rsidRPr="00162B16">
        <w:rPr>
          <w:color w:val="auto"/>
        </w:rPr>
        <w:t>B</w:t>
      </w:r>
      <w:r w:rsidRPr="00162B16">
        <w:rPr>
          <w:color w:val="auto"/>
        </w:rPr>
        <w:t>ehavior in 50- to 74-</w:t>
      </w:r>
      <w:r w:rsidR="00906340" w:rsidRPr="00162B16">
        <w:rPr>
          <w:color w:val="auto"/>
        </w:rPr>
        <w:t>Y</w:t>
      </w:r>
      <w:r w:rsidRPr="00162B16">
        <w:rPr>
          <w:color w:val="auto"/>
        </w:rPr>
        <w:t>ear-</w:t>
      </w:r>
      <w:r w:rsidR="00906340" w:rsidRPr="00162B16">
        <w:rPr>
          <w:color w:val="auto"/>
        </w:rPr>
        <w:t>O</w:t>
      </w:r>
      <w:r w:rsidRPr="00162B16">
        <w:rPr>
          <w:color w:val="auto"/>
        </w:rPr>
        <w:t xml:space="preserve">lds: </w:t>
      </w:r>
      <w:r w:rsidR="00906340" w:rsidRPr="00162B16">
        <w:rPr>
          <w:color w:val="auto"/>
        </w:rPr>
        <w:t>D</w:t>
      </w:r>
      <w:r w:rsidRPr="00162B16">
        <w:rPr>
          <w:color w:val="auto"/>
        </w:rPr>
        <w:t xml:space="preserve">ifferences between </w:t>
      </w:r>
      <w:r w:rsidR="00906340" w:rsidRPr="00162B16">
        <w:rPr>
          <w:color w:val="auto"/>
        </w:rPr>
        <w:t>E</w:t>
      </w:r>
      <w:r w:rsidRPr="00162B16">
        <w:rPr>
          <w:color w:val="auto"/>
        </w:rPr>
        <w:t xml:space="preserve">mployed and </w:t>
      </w:r>
      <w:r w:rsidR="00906340" w:rsidRPr="00162B16">
        <w:rPr>
          <w:color w:val="auto"/>
        </w:rPr>
        <w:t>R</w:t>
      </w:r>
      <w:r w:rsidRPr="00162B16">
        <w:rPr>
          <w:color w:val="auto"/>
        </w:rPr>
        <w:t xml:space="preserve">etired </w:t>
      </w:r>
      <w:r w:rsidR="00906340" w:rsidRPr="00162B16">
        <w:rPr>
          <w:color w:val="auto"/>
        </w:rPr>
        <w:t>I</w:t>
      </w:r>
      <w:r w:rsidRPr="00162B16">
        <w:rPr>
          <w:color w:val="auto"/>
        </w:rPr>
        <w:t>ndividuals</w:t>
      </w:r>
    </w:p>
    <w:p w14:paraId="1F1A90FE" w14:textId="5B1732D6" w:rsidR="00937EA2" w:rsidRPr="00162B16" w:rsidRDefault="001C6D9C" w:rsidP="00D2168E">
      <w:pPr>
        <w:pStyle w:val="MDPI13authornames"/>
        <w:rPr>
          <w:color w:val="auto"/>
        </w:rPr>
      </w:pPr>
      <w:r w:rsidRPr="00162B16">
        <w:rPr>
          <w:color w:val="auto"/>
        </w:rPr>
        <w:t>Karl Spiteri</w:t>
      </w:r>
      <w:r w:rsidR="00906340" w:rsidRPr="00162B16">
        <w:rPr>
          <w:color w:val="auto"/>
        </w:rPr>
        <w:t xml:space="preserve"> </w:t>
      </w:r>
      <w:proofErr w:type="gramStart"/>
      <w:r w:rsidRPr="00162B16">
        <w:rPr>
          <w:color w:val="auto"/>
          <w:vertAlign w:val="superscript"/>
        </w:rPr>
        <w:t>1</w:t>
      </w:r>
      <w:r w:rsidR="00906340" w:rsidRPr="00162B16">
        <w:rPr>
          <w:color w:val="auto"/>
          <w:vertAlign w:val="superscript"/>
        </w:rPr>
        <w:t>,</w:t>
      </w:r>
      <w:r w:rsidRPr="00162B16">
        <w:rPr>
          <w:color w:val="auto"/>
        </w:rPr>
        <w:t>*</w:t>
      </w:r>
      <w:proofErr w:type="gramEnd"/>
      <w:r w:rsidRPr="00162B16">
        <w:rPr>
          <w:color w:val="auto"/>
        </w:rPr>
        <w:t xml:space="preserve">, John </w:t>
      </w:r>
      <w:proofErr w:type="spellStart"/>
      <w:r w:rsidRPr="00162B16">
        <w:rPr>
          <w:color w:val="auto"/>
        </w:rPr>
        <w:t>Xerri</w:t>
      </w:r>
      <w:proofErr w:type="spellEnd"/>
      <w:r w:rsidRPr="00162B16">
        <w:rPr>
          <w:color w:val="auto"/>
        </w:rPr>
        <w:t xml:space="preserve"> de Caro</w:t>
      </w:r>
      <w:r w:rsidR="00906340" w:rsidRPr="00162B16">
        <w:rPr>
          <w:color w:val="auto"/>
        </w:rPr>
        <w:t xml:space="preserve"> </w:t>
      </w:r>
      <w:r w:rsidRPr="00162B16">
        <w:rPr>
          <w:color w:val="auto"/>
          <w:vertAlign w:val="superscript"/>
        </w:rPr>
        <w:t>2</w:t>
      </w:r>
      <w:r w:rsidRPr="00162B16">
        <w:rPr>
          <w:color w:val="auto"/>
        </w:rPr>
        <w:t xml:space="preserve">, </w:t>
      </w:r>
      <w:r w:rsidR="008254A5" w:rsidRPr="00162B16">
        <w:rPr>
          <w:color w:val="auto"/>
        </w:rPr>
        <w:t xml:space="preserve">Kathleen </w:t>
      </w:r>
      <w:r w:rsidRPr="00162B16">
        <w:rPr>
          <w:color w:val="auto"/>
        </w:rPr>
        <w:t xml:space="preserve">England </w:t>
      </w:r>
      <w:r w:rsidRPr="00162B16">
        <w:rPr>
          <w:color w:val="auto"/>
          <w:vertAlign w:val="superscript"/>
        </w:rPr>
        <w:t>3</w:t>
      </w:r>
      <w:r w:rsidRPr="00162B16">
        <w:rPr>
          <w:color w:val="auto"/>
        </w:rPr>
        <w:t>, Neville Calleja</w:t>
      </w:r>
      <w:r w:rsidR="00906340" w:rsidRPr="00162B16">
        <w:rPr>
          <w:color w:val="auto"/>
        </w:rPr>
        <w:t xml:space="preserve"> </w:t>
      </w:r>
      <w:r w:rsidRPr="00162B16">
        <w:rPr>
          <w:color w:val="auto"/>
          <w:vertAlign w:val="superscript"/>
        </w:rPr>
        <w:t>3</w:t>
      </w:r>
      <w:r w:rsidRPr="00162B16">
        <w:rPr>
          <w:color w:val="auto"/>
        </w:rPr>
        <w:t>, Lee Smith</w:t>
      </w:r>
      <w:r w:rsidR="00906340" w:rsidRPr="00162B16">
        <w:rPr>
          <w:color w:val="auto"/>
        </w:rPr>
        <w:t xml:space="preserve"> </w:t>
      </w:r>
      <w:r w:rsidRPr="00162B16">
        <w:rPr>
          <w:color w:val="auto"/>
          <w:vertAlign w:val="superscript"/>
        </w:rPr>
        <w:t>4</w:t>
      </w:r>
      <w:r w:rsidRPr="00162B16">
        <w:rPr>
          <w:color w:val="auto"/>
        </w:rPr>
        <w:t>, Kate Grafton</w:t>
      </w:r>
      <w:r w:rsidR="00906340" w:rsidRPr="00162B16">
        <w:rPr>
          <w:color w:val="auto"/>
        </w:rPr>
        <w:t xml:space="preserve"> </w:t>
      </w:r>
      <w:r w:rsidRPr="00162B16">
        <w:rPr>
          <w:color w:val="auto"/>
          <w:vertAlign w:val="superscript"/>
        </w:rPr>
        <w:t>5</w:t>
      </w:r>
      <w:r w:rsidRPr="00162B16">
        <w:rPr>
          <w:color w:val="auto"/>
        </w:rPr>
        <w:t xml:space="preserve"> </w:t>
      </w:r>
      <w:r w:rsidR="00906340" w:rsidRPr="00162B16">
        <w:rPr>
          <w:color w:val="auto"/>
        </w:rPr>
        <w:t xml:space="preserve">and </w:t>
      </w:r>
      <w:r w:rsidRPr="00162B16">
        <w:rPr>
          <w:color w:val="auto"/>
        </w:rPr>
        <w:t>David Broom</w:t>
      </w:r>
      <w:r w:rsidRPr="00162B16">
        <w:rPr>
          <w:color w:val="auto"/>
          <w:vertAlign w:val="superscript"/>
        </w:rPr>
        <w:t>1</w:t>
      </w:r>
      <w:r w:rsidR="00937EA2" w:rsidRPr="00162B16">
        <w:rPr>
          <w:color w:val="auto"/>
        </w:rPr>
        <w:t xml:space="preserve"> </w:t>
      </w:r>
    </w:p>
    <w:p w14:paraId="5939159F" w14:textId="631B153D" w:rsidR="00937EA2" w:rsidRPr="00162B16" w:rsidRDefault="00937EA2" w:rsidP="00D2168E">
      <w:pPr>
        <w:pStyle w:val="MDPI16affiliation"/>
        <w:rPr>
          <w:color w:val="auto"/>
        </w:rPr>
      </w:pPr>
      <w:r w:rsidRPr="00162B16">
        <w:rPr>
          <w:color w:val="auto"/>
          <w:vertAlign w:val="superscript"/>
        </w:rPr>
        <w:t>1</w:t>
      </w:r>
      <w:r w:rsidRPr="00162B16">
        <w:rPr>
          <w:color w:val="auto"/>
        </w:rPr>
        <w:tab/>
      </w:r>
      <w:r w:rsidR="00705B31" w:rsidRPr="00162B16">
        <w:rPr>
          <w:color w:val="auto"/>
        </w:rPr>
        <w:t xml:space="preserve">Centre for Sport, Exercise and Life Sciences </w:t>
      </w:r>
      <w:r w:rsidR="001C6D9C" w:rsidRPr="00162B16">
        <w:rPr>
          <w:color w:val="auto"/>
        </w:rPr>
        <w:t>Coventry University</w:t>
      </w:r>
      <w:r w:rsidRPr="00162B16">
        <w:rPr>
          <w:color w:val="auto"/>
        </w:rPr>
        <w:t xml:space="preserve">; </w:t>
      </w:r>
      <w:hyperlink r:id="rId8" w:history="1">
        <w:r w:rsidR="00D12DC9" w:rsidRPr="00162B16">
          <w:rPr>
            <w:rStyle w:val="Hyperlink"/>
            <w:color w:val="auto"/>
            <w:u w:val="none"/>
          </w:rPr>
          <w:t>spiterik2@coventry.ac.uk</w:t>
        </w:r>
      </w:hyperlink>
      <w:r w:rsidR="00D12DC9" w:rsidRPr="00162B16">
        <w:rPr>
          <w:color w:val="auto"/>
        </w:rPr>
        <w:t>,</w:t>
      </w:r>
      <w:r w:rsidR="00705B31" w:rsidRPr="00162B16">
        <w:rPr>
          <w:color w:val="auto"/>
        </w:rPr>
        <w:t xml:space="preserve"> david.broom@coventry.ac.uk</w:t>
      </w:r>
      <w:r w:rsidR="00D12DC9" w:rsidRPr="00162B16">
        <w:rPr>
          <w:color w:val="auto"/>
        </w:rPr>
        <w:t xml:space="preserve"> </w:t>
      </w:r>
    </w:p>
    <w:p w14:paraId="7DFF5B2F" w14:textId="6C8C368B" w:rsidR="00937EA2" w:rsidRPr="00162B16" w:rsidRDefault="00937EA2" w:rsidP="00D2168E">
      <w:pPr>
        <w:pStyle w:val="MDPI16affiliation"/>
        <w:rPr>
          <w:color w:val="auto"/>
        </w:rPr>
      </w:pPr>
      <w:r w:rsidRPr="00162B16">
        <w:rPr>
          <w:color w:val="auto"/>
          <w:vertAlign w:val="superscript"/>
        </w:rPr>
        <w:t>2</w:t>
      </w:r>
      <w:r w:rsidRPr="00162B16">
        <w:rPr>
          <w:color w:val="auto"/>
        </w:rPr>
        <w:tab/>
      </w:r>
      <w:r w:rsidR="00705B31" w:rsidRPr="00162B16">
        <w:rPr>
          <w:color w:val="auto"/>
        </w:rPr>
        <w:t>Faculty of Health Sciences, University of Malta</w:t>
      </w:r>
      <w:r w:rsidRPr="00162B16">
        <w:rPr>
          <w:color w:val="auto"/>
        </w:rPr>
        <w:t xml:space="preserve">; </w:t>
      </w:r>
      <w:r w:rsidR="00705B31" w:rsidRPr="00162B16">
        <w:rPr>
          <w:color w:val="auto"/>
        </w:rPr>
        <w:t>john.xerri-decaro@um.edu.mt</w:t>
      </w:r>
    </w:p>
    <w:p w14:paraId="3CE5B3DC" w14:textId="6092B6F7" w:rsidR="00F32295" w:rsidRPr="00162B16" w:rsidRDefault="00F32295" w:rsidP="00D2168E">
      <w:pPr>
        <w:pStyle w:val="MDPI16affiliation"/>
        <w:rPr>
          <w:color w:val="auto"/>
        </w:rPr>
      </w:pPr>
      <w:r w:rsidRPr="00162B16">
        <w:rPr>
          <w:color w:val="auto"/>
          <w:vertAlign w:val="superscript"/>
        </w:rPr>
        <w:t>3</w:t>
      </w:r>
      <w:r w:rsidR="00906340" w:rsidRPr="00162B16">
        <w:rPr>
          <w:color w:val="auto"/>
        </w:rPr>
        <w:tab/>
      </w:r>
      <w:r w:rsidR="00D12DC9" w:rsidRPr="00162B16">
        <w:rPr>
          <w:color w:val="auto"/>
        </w:rPr>
        <w:t>Department of health information and research, Ministry for Health</w:t>
      </w:r>
      <w:r w:rsidR="00705B31" w:rsidRPr="00162B16">
        <w:rPr>
          <w:color w:val="auto"/>
        </w:rPr>
        <w:t xml:space="preserve">; </w:t>
      </w:r>
      <w:hyperlink r:id="rId9" w:history="1">
        <w:r w:rsidR="00705B31" w:rsidRPr="00162B16">
          <w:rPr>
            <w:rStyle w:val="Hyperlink"/>
            <w:color w:val="auto"/>
            <w:u w:val="none"/>
          </w:rPr>
          <w:t>kathleen.england@gov.mt</w:t>
        </w:r>
      </w:hyperlink>
      <w:r w:rsidR="00705B31" w:rsidRPr="00162B16">
        <w:rPr>
          <w:color w:val="auto"/>
        </w:rPr>
        <w:t xml:space="preserve">, </w:t>
      </w:r>
      <w:r w:rsidR="00A81629" w:rsidRPr="00162B16">
        <w:rPr>
          <w:color w:val="auto"/>
        </w:rPr>
        <w:t>neville.calleja@gov.mt</w:t>
      </w:r>
    </w:p>
    <w:p w14:paraId="65EAECE0" w14:textId="7F322157" w:rsidR="00F32295" w:rsidRPr="00162B16" w:rsidRDefault="00F32295" w:rsidP="00D2168E">
      <w:pPr>
        <w:pStyle w:val="MDPI16affiliation"/>
        <w:rPr>
          <w:color w:val="auto"/>
        </w:rPr>
      </w:pPr>
      <w:r w:rsidRPr="00162B16">
        <w:rPr>
          <w:color w:val="auto"/>
          <w:vertAlign w:val="superscript"/>
        </w:rPr>
        <w:t>4</w:t>
      </w:r>
      <w:r w:rsidR="00906340" w:rsidRPr="00162B16">
        <w:rPr>
          <w:color w:val="auto"/>
        </w:rPr>
        <w:tab/>
      </w:r>
      <w:r w:rsidR="00705B31" w:rsidRPr="00162B16">
        <w:rPr>
          <w:color w:val="auto"/>
        </w:rPr>
        <w:t>Cambridge Centre for Sport and Exercise Sciences, Anglia Ruskin University;</w:t>
      </w:r>
      <w:r w:rsidR="00705B31" w:rsidRPr="00162B16">
        <w:rPr>
          <w:color w:val="auto"/>
          <w:vertAlign w:val="superscript"/>
        </w:rPr>
        <w:t xml:space="preserve"> </w:t>
      </w:r>
      <w:r w:rsidR="00705B31" w:rsidRPr="00162B16">
        <w:rPr>
          <w:color w:val="auto"/>
        </w:rPr>
        <w:t>Lee.Smith@aru.ac.uk</w:t>
      </w:r>
    </w:p>
    <w:p w14:paraId="19FDAB67" w14:textId="661A7138" w:rsidR="00F32295" w:rsidRPr="00162B16" w:rsidRDefault="00F32295" w:rsidP="00D2168E">
      <w:pPr>
        <w:pStyle w:val="MDPI16affiliation"/>
        <w:rPr>
          <w:color w:val="auto"/>
        </w:rPr>
      </w:pPr>
      <w:r w:rsidRPr="00162B16">
        <w:rPr>
          <w:color w:val="auto"/>
          <w:vertAlign w:val="superscript"/>
        </w:rPr>
        <w:t>5</w:t>
      </w:r>
      <w:r w:rsidR="00906340" w:rsidRPr="00162B16">
        <w:rPr>
          <w:color w:val="auto"/>
        </w:rPr>
        <w:tab/>
      </w:r>
      <w:r w:rsidR="00705B31" w:rsidRPr="00162B16">
        <w:rPr>
          <w:color w:val="auto"/>
        </w:rPr>
        <w:t>School of Health and Social Care, University of Lincoln; KGrafton@lincoln.ac.uk</w:t>
      </w:r>
    </w:p>
    <w:p w14:paraId="485A25E4" w14:textId="44BB7D43" w:rsidR="00937EA2" w:rsidRPr="00162B16" w:rsidRDefault="00937EA2" w:rsidP="00D2168E">
      <w:pPr>
        <w:pStyle w:val="MDPI16affiliation"/>
        <w:rPr>
          <w:color w:val="auto"/>
        </w:rPr>
      </w:pPr>
      <w:r w:rsidRPr="00162B16">
        <w:rPr>
          <w:color w:val="auto"/>
        </w:rPr>
        <w:t>*</w:t>
      </w:r>
      <w:r w:rsidRPr="00162B16">
        <w:rPr>
          <w:color w:val="auto"/>
        </w:rPr>
        <w:tab/>
        <w:t xml:space="preserve">Correspondence: </w:t>
      </w:r>
      <w:r w:rsidR="00F32295" w:rsidRPr="00162B16">
        <w:rPr>
          <w:color w:val="auto"/>
        </w:rPr>
        <w:t>spiterik2@coventry.ac.uk</w:t>
      </w:r>
    </w:p>
    <w:tbl>
      <w:tblPr>
        <w:tblpPr w:leftFromText="198" w:rightFromText="198" w:vertAnchor="page" w:horzAnchor="page" w:tblpX="301" w:tblpY="7966"/>
        <w:tblW w:w="2410" w:type="dxa"/>
        <w:tblLayout w:type="fixed"/>
        <w:tblCellMar>
          <w:left w:w="0" w:type="dxa"/>
          <w:right w:w="0" w:type="dxa"/>
        </w:tblCellMar>
        <w:tblLook w:val="04A0" w:firstRow="1" w:lastRow="0" w:firstColumn="1" w:lastColumn="0" w:noHBand="0" w:noVBand="1"/>
      </w:tblPr>
      <w:tblGrid>
        <w:gridCol w:w="2410"/>
      </w:tblGrid>
      <w:tr w:rsidR="00162B16" w:rsidRPr="00162B16" w14:paraId="29CB15D8" w14:textId="77777777" w:rsidTr="008C31CE">
        <w:tc>
          <w:tcPr>
            <w:tcW w:w="2410" w:type="dxa"/>
            <w:shd w:val="clear" w:color="auto" w:fill="auto"/>
          </w:tcPr>
          <w:p w14:paraId="382AF1CC" w14:textId="77777777" w:rsidR="008C31CE" w:rsidRPr="00162B16" w:rsidRDefault="008C31CE" w:rsidP="008C31CE">
            <w:pPr>
              <w:pStyle w:val="MDPI61Citation"/>
              <w:spacing w:line="240" w:lineRule="exact"/>
            </w:pPr>
            <w:r w:rsidRPr="00162B16">
              <w:rPr>
                <w:b/>
              </w:rPr>
              <w:t>Citation:</w:t>
            </w:r>
            <w:r w:rsidRPr="00162B16">
              <w:t xml:space="preserve"> </w:t>
            </w:r>
            <w:proofErr w:type="spellStart"/>
            <w:r w:rsidRPr="00162B16">
              <w:t>Lastname</w:t>
            </w:r>
            <w:proofErr w:type="spellEnd"/>
            <w:r w:rsidRPr="00162B16">
              <w:t xml:space="preserve">, F.; </w:t>
            </w:r>
            <w:proofErr w:type="spellStart"/>
            <w:r w:rsidRPr="00162B16">
              <w:t>Lastname</w:t>
            </w:r>
            <w:proofErr w:type="spellEnd"/>
            <w:r w:rsidRPr="00162B16">
              <w:t xml:space="preserve">, F.; </w:t>
            </w:r>
            <w:proofErr w:type="spellStart"/>
            <w:r w:rsidRPr="00162B16">
              <w:t>Lastname</w:t>
            </w:r>
            <w:proofErr w:type="spellEnd"/>
            <w:r w:rsidRPr="00162B16">
              <w:t xml:space="preserve">, F. Title. </w:t>
            </w:r>
            <w:r w:rsidRPr="00162B16">
              <w:rPr>
                <w:i/>
              </w:rPr>
              <w:t xml:space="preserve">J. Ageing </w:t>
            </w:r>
            <w:proofErr w:type="spellStart"/>
            <w:r w:rsidRPr="00162B16">
              <w:rPr>
                <w:i/>
              </w:rPr>
              <w:t>Longev</w:t>
            </w:r>
            <w:proofErr w:type="spellEnd"/>
            <w:r w:rsidRPr="00162B16">
              <w:rPr>
                <w:i/>
              </w:rPr>
              <w:t xml:space="preserve">. </w:t>
            </w:r>
            <w:r w:rsidRPr="00162B16">
              <w:rPr>
                <w:b/>
              </w:rPr>
              <w:t>2021</w:t>
            </w:r>
            <w:r w:rsidRPr="00162B16">
              <w:t xml:space="preserve">, </w:t>
            </w:r>
            <w:r w:rsidRPr="00162B16">
              <w:rPr>
                <w:i/>
              </w:rPr>
              <w:t>1</w:t>
            </w:r>
            <w:r w:rsidRPr="00162B16">
              <w:t xml:space="preserve">, </w:t>
            </w:r>
            <w:proofErr w:type="spellStart"/>
            <w:r w:rsidRPr="00162B16">
              <w:t>Firstpage</w:t>
            </w:r>
            <w:proofErr w:type="spellEnd"/>
            <w:r w:rsidRPr="00162B16">
              <w:t>–</w:t>
            </w:r>
            <w:proofErr w:type="spellStart"/>
            <w:r w:rsidRPr="00162B16">
              <w:t>Lastpage</w:t>
            </w:r>
            <w:proofErr w:type="spellEnd"/>
            <w:r w:rsidRPr="00162B16">
              <w:t>. https://doi.org/10.3390/xxxxx</w:t>
            </w:r>
          </w:p>
          <w:p w14:paraId="628AE05F" w14:textId="77777777" w:rsidR="008C31CE" w:rsidRPr="00162B16" w:rsidRDefault="008C31CE" w:rsidP="008C31CE">
            <w:pPr>
              <w:pStyle w:val="MDPI15academiceditor"/>
              <w:rPr>
                <w:color w:val="auto"/>
                <w:spacing w:val="-4"/>
              </w:rPr>
            </w:pPr>
            <w:r w:rsidRPr="00162B16">
              <w:rPr>
                <w:color w:val="auto"/>
              </w:rPr>
              <w:t xml:space="preserve">Academic Editor: </w:t>
            </w:r>
            <w:proofErr w:type="spellStart"/>
            <w:r w:rsidRPr="00162B16">
              <w:rPr>
                <w:color w:val="auto"/>
                <w:spacing w:val="-4"/>
              </w:rPr>
              <w:t>Firstname</w:t>
            </w:r>
            <w:proofErr w:type="spellEnd"/>
            <w:r w:rsidRPr="00162B16">
              <w:rPr>
                <w:color w:val="auto"/>
                <w:spacing w:val="-4"/>
              </w:rPr>
              <w:t xml:space="preserve"> </w:t>
            </w:r>
            <w:proofErr w:type="spellStart"/>
            <w:r w:rsidRPr="00162B16">
              <w:rPr>
                <w:color w:val="auto"/>
                <w:spacing w:val="-4"/>
              </w:rPr>
              <w:t>Lastname</w:t>
            </w:r>
            <w:proofErr w:type="spellEnd"/>
          </w:p>
          <w:p w14:paraId="04CE7E5F" w14:textId="77777777" w:rsidR="008C31CE" w:rsidRPr="00162B16" w:rsidRDefault="008C31CE" w:rsidP="008C31CE">
            <w:pPr>
              <w:pStyle w:val="MDPI14history"/>
              <w:spacing w:before="240"/>
              <w:rPr>
                <w:color w:val="auto"/>
                <w:szCs w:val="14"/>
              </w:rPr>
            </w:pPr>
            <w:r w:rsidRPr="00162B16">
              <w:rPr>
                <w:color w:val="auto"/>
                <w:szCs w:val="14"/>
              </w:rPr>
              <w:t>Received: date</w:t>
            </w:r>
          </w:p>
          <w:p w14:paraId="00D2BE89" w14:textId="77777777" w:rsidR="008C31CE" w:rsidRPr="00162B16" w:rsidRDefault="008C31CE" w:rsidP="008C31CE">
            <w:pPr>
              <w:pStyle w:val="MDPI14history"/>
              <w:rPr>
                <w:color w:val="auto"/>
                <w:szCs w:val="14"/>
              </w:rPr>
            </w:pPr>
            <w:r w:rsidRPr="00162B16">
              <w:rPr>
                <w:color w:val="auto"/>
                <w:szCs w:val="14"/>
              </w:rPr>
              <w:t>Accepted: date</w:t>
            </w:r>
          </w:p>
          <w:p w14:paraId="2FE42DD7" w14:textId="77777777" w:rsidR="008C31CE" w:rsidRPr="00162B16" w:rsidRDefault="008C31CE" w:rsidP="008C31CE">
            <w:pPr>
              <w:pStyle w:val="MDPI14history"/>
              <w:spacing w:after="240"/>
              <w:rPr>
                <w:color w:val="auto"/>
                <w:szCs w:val="14"/>
              </w:rPr>
            </w:pPr>
            <w:r w:rsidRPr="00162B16">
              <w:rPr>
                <w:color w:val="auto"/>
                <w:szCs w:val="14"/>
              </w:rPr>
              <w:t>Published: date</w:t>
            </w:r>
          </w:p>
          <w:p w14:paraId="5FBF610E" w14:textId="77777777" w:rsidR="008C31CE" w:rsidRPr="00162B16" w:rsidRDefault="008C31CE" w:rsidP="008C31CE">
            <w:pPr>
              <w:pStyle w:val="MDPI63Notes"/>
              <w:jc w:val="both"/>
              <w:rPr>
                <w:color w:val="auto"/>
              </w:rPr>
            </w:pPr>
            <w:r w:rsidRPr="00162B16">
              <w:rPr>
                <w:b/>
                <w:color w:val="auto"/>
              </w:rPr>
              <w:t>Publisher’s Note:</w:t>
            </w:r>
            <w:r w:rsidRPr="00162B16">
              <w:rPr>
                <w:color w:val="auto"/>
              </w:rPr>
              <w:t xml:space="preserve"> MDPI stays neutral </w:t>
            </w:r>
            <w:proofErr w:type="gramStart"/>
            <w:r w:rsidRPr="00162B16">
              <w:rPr>
                <w:color w:val="auto"/>
              </w:rPr>
              <w:t>with regard to</w:t>
            </w:r>
            <w:proofErr w:type="gramEnd"/>
            <w:r w:rsidRPr="00162B16">
              <w:rPr>
                <w:color w:val="auto"/>
              </w:rPr>
              <w:t xml:space="preserve"> jurisdictional claims in published maps and institutional affiliations.</w:t>
            </w:r>
          </w:p>
          <w:p w14:paraId="4BFB3428" w14:textId="77777777" w:rsidR="008C31CE" w:rsidRPr="00162B16" w:rsidRDefault="008C31CE" w:rsidP="008C31CE">
            <w:pPr>
              <w:adjustRightInd w:val="0"/>
              <w:snapToGrid w:val="0"/>
              <w:spacing w:before="240" w:line="240" w:lineRule="atLeast"/>
              <w:ind w:right="113"/>
              <w:jc w:val="left"/>
              <w:rPr>
                <w:rFonts w:eastAsia="DengXian"/>
                <w:bCs/>
                <w:noProof w:val="0"/>
                <w:color w:val="auto"/>
                <w:sz w:val="14"/>
                <w:szCs w:val="14"/>
                <w:lang w:bidi="en-US"/>
              </w:rPr>
            </w:pPr>
            <w:r w:rsidRPr="00162B16">
              <w:rPr>
                <w:rFonts w:eastAsia="DengXian"/>
                <w:color w:val="auto"/>
              </w:rPr>
              <w:drawing>
                <wp:inline distT="0" distB="0" distL="0" distR="0" wp14:anchorId="6F11D1D0" wp14:editId="19AB0A4E">
                  <wp:extent cx="692785" cy="249555"/>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2785" cy="249555"/>
                          </a:xfrm>
                          <a:prstGeom prst="rect">
                            <a:avLst/>
                          </a:prstGeom>
                          <a:noFill/>
                          <a:ln>
                            <a:noFill/>
                          </a:ln>
                        </pic:spPr>
                      </pic:pic>
                    </a:graphicData>
                  </a:graphic>
                </wp:inline>
              </w:drawing>
            </w:r>
          </w:p>
          <w:p w14:paraId="7F0CD16C" w14:textId="77777777" w:rsidR="008C31CE" w:rsidRPr="00162B16" w:rsidRDefault="008C31CE" w:rsidP="008C31CE">
            <w:pPr>
              <w:adjustRightInd w:val="0"/>
              <w:snapToGrid w:val="0"/>
              <w:spacing w:before="60" w:line="240" w:lineRule="atLeast"/>
              <w:ind w:right="113"/>
              <w:rPr>
                <w:rFonts w:eastAsia="DengXian"/>
                <w:bCs/>
                <w:noProof w:val="0"/>
                <w:color w:val="auto"/>
                <w:sz w:val="14"/>
                <w:szCs w:val="14"/>
                <w:lang w:bidi="en-US"/>
              </w:rPr>
            </w:pPr>
            <w:r w:rsidRPr="00162B16">
              <w:rPr>
                <w:rFonts w:eastAsia="DengXian"/>
                <w:b/>
                <w:bCs/>
                <w:noProof w:val="0"/>
                <w:color w:val="auto"/>
                <w:sz w:val="14"/>
                <w:szCs w:val="14"/>
                <w:lang w:bidi="en-US"/>
              </w:rPr>
              <w:t>Copyright:</w:t>
            </w:r>
            <w:r w:rsidRPr="00162B16">
              <w:rPr>
                <w:rFonts w:eastAsia="DengXian"/>
                <w:bCs/>
                <w:noProof w:val="0"/>
                <w:color w:val="auto"/>
                <w:sz w:val="14"/>
                <w:szCs w:val="14"/>
                <w:lang w:bidi="en-US"/>
              </w:rPr>
              <w:t xml:space="preserve"> © 2021 by the authors. Submitted for possible open access publication under the terms and conditions of the Creative Commons Attribution (CC BY) license (https://creativecommons.org/licenses/by/4.0/).</w:t>
            </w:r>
          </w:p>
        </w:tc>
      </w:tr>
    </w:tbl>
    <w:p w14:paraId="456C7392" w14:textId="45E561E7" w:rsidR="00937EA2" w:rsidRPr="00162B16" w:rsidRDefault="00937EA2" w:rsidP="00D2168E">
      <w:pPr>
        <w:pStyle w:val="MDPI17abstract"/>
        <w:rPr>
          <w:color w:val="auto"/>
        </w:rPr>
      </w:pPr>
      <w:r w:rsidRPr="00162B16">
        <w:rPr>
          <w:b/>
          <w:color w:val="auto"/>
        </w:rPr>
        <w:t xml:space="preserve">Abstract: </w:t>
      </w:r>
      <w:r w:rsidR="001C6D9C" w:rsidRPr="00162B16">
        <w:rPr>
          <w:color w:val="auto"/>
        </w:rPr>
        <w:t>Objectives: Retirement provides an opportunity to influence physical activity behavior. The study aimed to examine data from Malta’s Health Interview Survey to assess differences between persons in employment and those retired, across different time periods. Methods: A repeat cross-sectional design was adopted. Data that was collected over a period of 12-years that included three cross-sectional HIS waves (2002</w:t>
      </w:r>
      <w:r w:rsidR="00FB0335" w:rsidRPr="00162B16">
        <w:rPr>
          <w:color w:val="auto"/>
        </w:rPr>
        <w:t>, 2008 and</w:t>
      </w:r>
      <w:r w:rsidR="001C6D9C" w:rsidRPr="00162B16">
        <w:rPr>
          <w:color w:val="auto"/>
        </w:rPr>
        <w:t xml:space="preserve">2014). </w:t>
      </w:r>
      <w:r w:rsidR="00FB0335" w:rsidRPr="00162B16">
        <w:rPr>
          <w:color w:val="auto"/>
        </w:rPr>
        <w:t>Data</w:t>
      </w:r>
      <w:r w:rsidR="006758E3" w:rsidRPr="00162B16">
        <w:rPr>
          <w:color w:val="auto"/>
        </w:rPr>
        <w:t xml:space="preserve"> was analyzed cross-sectionally and longitudinally using multilevel analysis. </w:t>
      </w:r>
      <w:r w:rsidR="001C6D9C" w:rsidRPr="00162B16">
        <w:rPr>
          <w:color w:val="auto"/>
        </w:rPr>
        <w:t>Results: 4690 participants between the ages of 50 and 74 years</w:t>
      </w:r>
      <w:r w:rsidR="00691584" w:rsidRPr="00162B16">
        <w:rPr>
          <w:color w:val="auto"/>
        </w:rPr>
        <w:t xml:space="preserve"> provided data on PA</w:t>
      </w:r>
      <w:r w:rsidR="001C6D9C" w:rsidRPr="00162B16">
        <w:rPr>
          <w:color w:val="auto"/>
        </w:rPr>
        <w:t xml:space="preserve">. </w:t>
      </w:r>
      <w:r w:rsidR="001364CF" w:rsidRPr="00162B16">
        <w:rPr>
          <w:color w:val="auto"/>
        </w:rPr>
        <w:t>A statistical differen</w:t>
      </w:r>
      <w:r w:rsidR="00FB0335" w:rsidRPr="00162B16">
        <w:rPr>
          <w:color w:val="auto"/>
        </w:rPr>
        <w:t>ce</w:t>
      </w:r>
      <w:r w:rsidR="001364CF" w:rsidRPr="00162B16">
        <w:rPr>
          <w:color w:val="auto"/>
        </w:rPr>
        <w:t xml:space="preserve"> was found between those employed and retired, with the latter </w:t>
      </w:r>
      <w:r w:rsidR="00FB0335" w:rsidRPr="00162B16">
        <w:rPr>
          <w:color w:val="auto"/>
        </w:rPr>
        <w:t>undertaking</w:t>
      </w:r>
      <w:r w:rsidR="001C6D9C" w:rsidRPr="00162B16">
        <w:rPr>
          <w:color w:val="auto"/>
        </w:rPr>
        <w:t xml:space="preserve"> less </w:t>
      </w:r>
      <w:r w:rsidR="00773818" w:rsidRPr="00162B16">
        <w:rPr>
          <w:color w:val="auto"/>
        </w:rPr>
        <w:t xml:space="preserve">PA </w:t>
      </w:r>
      <w:r w:rsidR="001C6D9C" w:rsidRPr="00162B16">
        <w:rPr>
          <w:color w:val="auto"/>
        </w:rPr>
        <w:t>MET min per week in 2002 and 2008</w:t>
      </w:r>
      <w:r w:rsidR="00FB0335" w:rsidRPr="00162B16">
        <w:rPr>
          <w:color w:val="auto"/>
        </w:rPr>
        <w:t>. There was no difference</w:t>
      </w:r>
      <w:r w:rsidR="001C6D9C" w:rsidRPr="00162B16">
        <w:rPr>
          <w:color w:val="auto"/>
        </w:rPr>
        <w:t xml:space="preserve"> in 2014. </w:t>
      </w:r>
      <w:r w:rsidR="00FB0335" w:rsidRPr="00162B16">
        <w:rPr>
          <w:color w:val="auto"/>
        </w:rPr>
        <w:t>W</w:t>
      </w:r>
      <w:r w:rsidR="006758E3" w:rsidRPr="00162B16">
        <w:rPr>
          <w:color w:val="auto"/>
        </w:rPr>
        <w:t>hen adjusting for covariates people in employment carried out</w:t>
      </w:r>
      <w:r w:rsidR="00FB0335" w:rsidRPr="00162B16">
        <w:rPr>
          <w:color w:val="auto"/>
        </w:rPr>
        <w:t xml:space="preserve"> </w:t>
      </w:r>
      <w:r w:rsidR="006758E3" w:rsidRPr="00162B16">
        <w:rPr>
          <w:color w:val="auto"/>
        </w:rPr>
        <w:t>less PA</w:t>
      </w:r>
      <w:r w:rsidR="00AE2380" w:rsidRPr="00162B16">
        <w:rPr>
          <w:color w:val="auto"/>
        </w:rPr>
        <w:t xml:space="preserve"> </w:t>
      </w:r>
      <w:r w:rsidR="001364CF" w:rsidRPr="00162B16">
        <w:rPr>
          <w:color w:val="auto"/>
        </w:rPr>
        <w:t xml:space="preserve">MET min per week </w:t>
      </w:r>
      <w:r w:rsidR="00AE2380" w:rsidRPr="00162B16">
        <w:rPr>
          <w:color w:val="auto"/>
        </w:rPr>
        <w:t>(OR -0.16 - -0.02)</w:t>
      </w:r>
      <w:r w:rsidR="001364CF" w:rsidRPr="00162B16">
        <w:rPr>
          <w:color w:val="auto"/>
        </w:rPr>
        <w:t xml:space="preserve"> compared to retired individuals</w:t>
      </w:r>
      <w:r w:rsidR="006758E3" w:rsidRPr="00162B16">
        <w:rPr>
          <w:color w:val="auto"/>
        </w:rPr>
        <w:t>.</w:t>
      </w:r>
      <w:r w:rsidR="00FB0335" w:rsidRPr="00162B16">
        <w:rPr>
          <w:color w:val="auto"/>
        </w:rPr>
        <w:t xml:space="preserve"> </w:t>
      </w:r>
      <w:r w:rsidR="00AE2380" w:rsidRPr="00162B16">
        <w:rPr>
          <w:color w:val="auto"/>
        </w:rPr>
        <w:t xml:space="preserve">Using multilevel modelling this study shows that individual factors </w:t>
      </w:r>
      <w:r w:rsidR="00FB0335" w:rsidRPr="00162B16">
        <w:rPr>
          <w:color w:val="auto"/>
        </w:rPr>
        <w:t xml:space="preserve">such BMI and </w:t>
      </w:r>
      <w:proofErr w:type="gramStart"/>
      <w:r w:rsidR="00FB0335" w:rsidRPr="00162B16">
        <w:rPr>
          <w:color w:val="auto"/>
        </w:rPr>
        <w:t>long standing</w:t>
      </w:r>
      <w:proofErr w:type="gramEnd"/>
      <w:r w:rsidR="00FB0335" w:rsidRPr="00162B16">
        <w:rPr>
          <w:color w:val="auto"/>
        </w:rPr>
        <w:t xml:space="preserve"> illness </w:t>
      </w:r>
      <w:r w:rsidR="00AE2380" w:rsidRPr="00162B16">
        <w:rPr>
          <w:color w:val="auto"/>
        </w:rPr>
        <w:t xml:space="preserve">are predictors of PA behavior and not time trends. </w:t>
      </w:r>
      <w:r w:rsidR="001C6D9C" w:rsidRPr="00162B16">
        <w:rPr>
          <w:color w:val="auto"/>
        </w:rPr>
        <w:t>Conclusion</w:t>
      </w:r>
      <w:proofErr w:type="gramStart"/>
      <w:r w:rsidR="001C6D9C" w:rsidRPr="00162B16">
        <w:rPr>
          <w:color w:val="auto"/>
        </w:rPr>
        <w:t>: .</w:t>
      </w:r>
      <w:proofErr w:type="gramEnd"/>
      <w:r w:rsidR="001C6D9C" w:rsidRPr="00162B16">
        <w:rPr>
          <w:color w:val="auto"/>
        </w:rPr>
        <w:t xml:space="preserve"> </w:t>
      </w:r>
      <w:r w:rsidR="001E5609" w:rsidRPr="00162B16">
        <w:rPr>
          <w:color w:val="auto"/>
        </w:rPr>
        <w:t>R</w:t>
      </w:r>
      <w:r w:rsidR="003610B8" w:rsidRPr="00162B16">
        <w:rPr>
          <w:color w:val="auto"/>
        </w:rPr>
        <w:t xml:space="preserve">etirement </w:t>
      </w:r>
      <w:r w:rsidR="00FB0335" w:rsidRPr="00162B16">
        <w:rPr>
          <w:color w:val="auto"/>
        </w:rPr>
        <w:t>can increase</w:t>
      </w:r>
      <w:r w:rsidR="003610B8" w:rsidRPr="00162B16">
        <w:rPr>
          <w:color w:val="auto"/>
        </w:rPr>
        <w:t xml:space="preserve"> PA measured in MET minutes per week.</w:t>
      </w:r>
      <w:r w:rsidR="001E5609" w:rsidRPr="00162B16">
        <w:rPr>
          <w:color w:val="auto"/>
        </w:rPr>
        <w:t xml:space="preserve"> Individual factors such as BMI, long standing health problems, and self-rated health could be causing the higher levels seen in the employed population during the </w:t>
      </w:r>
      <w:r w:rsidR="00773818" w:rsidRPr="00162B16">
        <w:rPr>
          <w:color w:val="auto"/>
        </w:rPr>
        <w:t>studied period.</w:t>
      </w:r>
    </w:p>
    <w:p w14:paraId="6C9A7669" w14:textId="0CA70EBF" w:rsidR="00937EA2" w:rsidRPr="00162B16" w:rsidRDefault="00906340" w:rsidP="00D2168E">
      <w:pPr>
        <w:pStyle w:val="MDPI18keywords"/>
        <w:rPr>
          <w:color w:val="auto"/>
        </w:rPr>
      </w:pPr>
      <w:r w:rsidRPr="00162B16">
        <w:rPr>
          <w:b/>
          <w:color w:val="auto"/>
        </w:rPr>
        <w:t>Keywords:</w:t>
      </w:r>
      <w:r w:rsidR="00937EA2" w:rsidRPr="00162B16">
        <w:rPr>
          <w:b/>
          <w:color w:val="auto"/>
        </w:rPr>
        <w:t xml:space="preserve"> </w:t>
      </w:r>
      <w:r w:rsidR="001C6D9C" w:rsidRPr="00162B16">
        <w:rPr>
          <w:color w:val="auto"/>
        </w:rPr>
        <w:t>physical activity</w:t>
      </w:r>
      <w:r w:rsidRPr="00162B16">
        <w:rPr>
          <w:color w:val="auto"/>
        </w:rPr>
        <w:t xml:space="preserve">; </w:t>
      </w:r>
      <w:r w:rsidR="001C6D9C" w:rsidRPr="00162B16">
        <w:rPr>
          <w:color w:val="auto"/>
        </w:rPr>
        <w:t>public health</w:t>
      </w:r>
      <w:r w:rsidRPr="00162B16">
        <w:rPr>
          <w:color w:val="auto"/>
        </w:rPr>
        <w:t xml:space="preserve">; </w:t>
      </w:r>
      <w:r w:rsidR="001C6D9C" w:rsidRPr="00162B16">
        <w:rPr>
          <w:color w:val="auto"/>
        </w:rPr>
        <w:t>aging</w:t>
      </w:r>
      <w:r w:rsidRPr="00162B16">
        <w:rPr>
          <w:color w:val="auto"/>
        </w:rPr>
        <w:t xml:space="preserve">; </w:t>
      </w:r>
      <w:r w:rsidR="001C6D9C" w:rsidRPr="00162B16">
        <w:rPr>
          <w:color w:val="auto"/>
        </w:rPr>
        <w:t>retirement</w:t>
      </w:r>
    </w:p>
    <w:bookmarkEnd w:id="0"/>
    <w:p w14:paraId="7CBD9A32" w14:textId="77777777" w:rsidR="00937EA2" w:rsidRPr="00162B16" w:rsidRDefault="00937EA2" w:rsidP="00D2168E">
      <w:pPr>
        <w:pStyle w:val="MDPI19line"/>
        <w:pBdr>
          <w:bottom w:val="single" w:sz="4" w:space="1" w:color="000000"/>
        </w:pBdr>
        <w:rPr>
          <w:color w:val="auto"/>
        </w:rPr>
      </w:pPr>
    </w:p>
    <w:p w14:paraId="56515759" w14:textId="4EB9C8F7" w:rsidR="00937EA2" w:rsidRPr="00162B16" w:rsidRDefault="00A83A2E" w:rsidP="00A83A2E">
      <w:pPr>
        <w:pStyle w:val="MDPI21heading1"/>
        <w:rPr>
          <w:color w:val="auto"/>
        </w:rPr>
      </w:pPr>
      <w:r w:rsidRPr="00162B16">
        <w:rPr>
          <w:color w:val="auto"/>
        </w:rPr>
        <w:t xml:space="preserve">1. </w:t>
      </w:r>
      <w:r w:rsidR="00937EA2" w:rsidRPr="00162B16">
        <w:rPr>
          <w:color w:val="auto"/>
        </w:rPr>
        <w:t>Introduction</w:t>
      </w:r>
    </w:p>
    <w:p w14:paraId="79384458" w14:textId="04673DEE" w:rsidR="0051320F" w:rsidRPr="00162B16" w:rsidRDefault="0051320F" w:rsidP="00A83A2E">
      <w:pPr>
        <w:pStyle w:val="MDPI31text"/>
        <w:rPr>
          <w:b/>
          <w:color w:val="auto"/>
        </w:rPr>
      </w:pPr>
      <w:r w:rsidRPr="00162B16">
        <w:rPr>
          <w:color w:val="auto"/>
        </w:rPr>
        <w:t xml:space="preserve">Participation in physical activity (PA) is beneficial for almost all facets of health in older adults. Regular and sustained PA behavior in older adults has been associated with a reduction in risk of cardiovascular disease, some cancers, type 2 diabetes and functional decline </w:t>
      </w:r>
      <w:r w:rsidR="002F4BE6" w:rsidRPr="00162B16">
        <w:rPr>
          <w:color w:val="auto"/>
        </w:rPr>
        <w:fldChar w:fldCharType="begin" w:fldLock="1"/>
      </w:r>
      <w:r w:rsidR="003610B8" w:rsidRPr="00162B16">
        <w:rPr>
          <w:color w:val="auto"/>
        </w:rPr>
        <w:instrText>ADDIN CSL_CITATION {"citationItems":[{"id":"ITEM-1","itemData":{"abstract":"This report presents an update to the 2011 physical activity guidelines issued by the four Chief Medical Officers (CMOs) of England, Scotland, Wales and Northern Ireland. The UK CMOs draw upon global evidence to present guidelines for different age groups, covering the volume, duration, frequency and type of physical activity required across the life course to achieve health benefits.","author":[{"dropping-particle":"","family":"UK Chief Medical Officers","given":"","non-dropping-particle":"","parse-names":false,"suffix":""}],"id":"ITEM-1","issue":"September","issued":{"date-parts":[["2019"]]},"number-of-pages":"1-65","title":"UK Chief Medical Officers ' Physical Activity Guidelines","type":"report"},"uris":["http://www.mendeley.com/documents/?uuid=dabb7ea3-f2c6-4ee3-ad69-1396fec49ad9"]}],"mendeley":{"formattedCitation":"[1]","plainTextFormattedCitation":"[1]","previouslyFormattedCitation":"[1]"},"properties":{"noteIndex":0},"schema":"https://github.com/citation-style-language/schema/raw/master/csl-citation.json"}</w:instrText>
      </w:r>
      <w:r w:rsidR="002F4BE6" w:rsidRPr="00162B16">
        <w:rPr>
          <w:color w:val="auto"/>
        </w:rPr>
        <w:fldChar w:fldCharType="separate"/>
      </w:r>
      <w:r w:rsidR="00C77C01" w:rsidRPr="00162B16">
        <w:rPr>
          <w:noProof/>
          <w:color w:val="auto"/>
        </w:rPr>
        <w:t>[1]</w:t>
      </w:r>
      <w:r w:rsidR="002F4BE6" w:rsidRPr="00162B16">
        <w:rPr>
          <w:color w:val="auto"/>
        </w:rPr>
        <w:fldChar w:fldCharType="end"/>
      </w:r>
      <w:r w:rsidRPr="00162B16">
        <w:rPr>
          <w:color w:val="auto"/>
        </w:rPr>
        <w:t xml:space="preserve">. Not meeting PA recommendations in older age has serious health implications including, for example, an increased risk of falls, dementia and lower bone density </w:t>
      </w:r>
      <w:r w:rsidR="002F4BE6" w:rsidRPr="00162B16">
        <w:rPr>
          <w:color w:val="auto"/>
        </w:rPr>
        <w:fldChar w:fldCharType="begin" w:fldLock="1"/>
      </w:r>
      <w:r w:rsidR="003610B8" w:rsidRPr="00162B16">
        <w:rPr>
          <w:color w:val="auto"/>
        </w:rPr>
        <w:instrText>ADDIN CSL_CITATION {"citationItems":[{"id":"ITEM-1","itemData":{"DOI":"10.1111/j.1742-1241.2008.01957.x","ISSN":"17421241","abstract":"As the number of elderly persons in our country increases, more attention is being given to geriatric healthcare needs and successful ageing is becoming an important topic in medical literature. Concept of successful ageing is in first line on a preventive approach of care for older people. Promotion of regular physical activity is one of the main non-pharmaceutical measures proposed to older subjects as low rate of physical activity is frequently noticed in this age group. Moderate but regular physical activity is associated with a reduction in total mortality among older people, a positive effect on primary prevention of coronary heart disease and a significant benefit on the lipid profile. Improving body composition with a reduction in fat mass, reducing blood pressure and prevention of stroke, as well as type 2 diabetes, are also well established. Prevention of some cancers (especially that of breast and colon), increasing bone density and prevention of falls are also reported. Moreover, some longitudinal studies suggest that physical activity is linked to a reduced risk of developing dementia and Alzheimer's disease in particular. © 2009 The Authors.","author":[{"dropping-particle":"","family":"Vogel","given":"T.","non-dropping-particle":"","parse-names":false,"suffix":""},{"dropping-particle":"","family":"Brechat","given":"P. H.","non-dropping-particle":"","parse-names":false,"suffix":""},{"dropping-particle":"","family":"Leprêtre","given":"P. M.","non-dropping-particle":"","parse-names":false,"suffix":""},{"dropping-particle":"","family":"Kaltenbach","given":"G.","non-dropping-particle":"","parse-names":false,"suffix":""},{"dropping-particle":"","family":"Berthel","given":"M.","non-dropping-particle":"","parse-names":false,"suffix":""},{"dropping-particle":"","family":"Lonsdorfer","given":"J.","non-dropping-particle":"","parse-names":false,"suffix":""}],"container-title":"International Journal of Clinical Practice","id":"ITEM-1","issue":"2","issued":{"date-parts":[["2009"]]},"page":"303-320","title":"Health benefits of physical activity in older patients: A review","type":"article-journal","volume":"63"},"uris":["http://www.mendeley.com/documents/?uuid=e4cf0bb5-c4cd-4288-997f-cbb3aabed656"]},{"id":"ITEM-2","itemData":{"DOI":"10.1016/S0140-6736(12)60898-8","ISSN":"1474547X","PMID":"22818941","abstract":"Physical inactivity is the fourth leading cause of death worldwide. We summarise present global efforts to counteract this problem and point the way forward to address the pandemic of physical inactivity. Although evidence for the benefits of physical activity for health has been available since the 1950s, promotion to improve the health of populations has lagged in relation to the available evidence and has only recently developed an identifiable infrastructure, including efforts in planning, policy, leadership and advocacy, workforce training and development, and monitoring and surveillance. The reasons for this late start are myriad, multifactorial, and complex. This infrastructure should continue to be formed, intersectoral approaches are essential to advance, and advocacy remains a key pillar. Although there is a need to build global capacity based on the present foundations, a systems approach that focuses on populations and the complex interactions among the correlates of physical inactivity, rather than solely a behavioural science approach focusing on individuals, is the way forward to increase physical activity worldwide.","author":[{"dropping-particle":"","family":"Kohl","given":"Harold W.","non-dropping-particle":"","parse-names":false,"suffix":""},{"dropping-particle":"","family":"Craig","given":"Cora Lynn","non-dropping-particle":"","parse-names":false,"suffix":""},{"dropping-particle":"","family":"Lambert","given":"Estelle Victoria","non-dropping-particle":"","parse-names":false,"suffix":""},{"dropping-particle":"","family":"Inoue","given":"Shigeru","non-dropping-particle":"","parse-names":false,"suffix":""},{"dropping-particle":"","family":"Alkandari","given":"Jasem Ramadan","non-dropping-particle":"","parse-names":false,"suffix":""},{"dropping-particle":"","family":"Leetongin","given":"Grit","non-dropping-particle":"","parse-names":false,"suffix":""},{"dropping-particle":"","family":"Kahlmeier","given":"Sonja","non-dropping-particle":"","parse-names":false,"suffix":""},{"dropping-particle":"","family":"Andersen","given":"Lars Bo","non-dropping-particle":"","parse-names":false,"suffix":""},{"dropping-particle":"","family":"Bauman","given":"Adrian E.","non-dropping-particle":"","parse-names":false,"suffix":""},{"dropping-particle":"","family":"Blair","given":"Steven N.","non-dropping-particle":"","parse-names":false,"suffix":""},{"dropping-particle":"","family":"Brownson","given":"Ross C.","non-dropping-particle":"","parse-names":false,"suffix":""},{"dropping-particle":"","family":"Bull","given":"Fiona C.","non-dropping-particle":"","parse-names":false,"suffix":""},{"dropping-particle":"","family":"Ekelund","given":"Ulf","non-dropping-particle":"","parse-names":false,"suffix":""},{"dropping-particle":"","family":"Goenka","given":"Shifalika","non-dropping-particle":"","parse-names":false,"suffix":""},{"dropping-particle":"","family":"Guthold","given":"Regina","non-dropping-particle":"","parse-names":false,"suffix":""},{"dropping-particle":"","family":"Hallal","given":"Pedro C.","non-dropping-particle":"","parse-names":false,"suffix":""},{"dropping-particle":"","family":"Haskell","given":"William L.","non-dropping-particle":"","parse-names":false,"suffix":""},{"dropping-particle":"","family":"Heath","given":"Gregory W.","non-dropping-particle":"","parse-names":false,"suffix":""},{"dropping-particle":"","family":"Katzmarzyk","given":"Peter T.","non-dropping-particle":"","parse-names":false,"suffix":""},{"dropping-particle":"","family":"Lee","given":"I. Min","non-dropping-particle":"","parse-names":false,"suffix":""},{"dropping-particle":"","family":"Lobelo","given":"Felipe","non-dropping-particle":"","parse-names":false,"suffix":""},{"dropping-particle":"","family":"Loos","given":"Ruth J.F.","non-dropping-particle":"","parse-names":false,"suffix":""},{"dropping-particle":"","family":"Marcus","given":"Bess","non-dropping-particle":"","parse-names":false,"suffix":""},{"dropping-particle":"","family":"Martin","given":"Brian W.","non-dropping-particle":"","parse-names":false,"suffix":""},{"dropping-particle":"","family":"Owen","given":"Neville","non-dropping-particle":"","parse-names":false,"suffix":""},{"dropping-particle":"","family":"Parra","given":"Diana C.","non-dropping-particle":"","parse-names":false,"suffix":""},{"dropping-particle":"","family":"Pratt","given":"Michael","non-dropping-particle":"","parse-names":false,"suffix":""},{"dropping-particle":"","family":"Puska","given":"Pekka","non-dropping-particle":"","parse-names":false,"suffix":""},{"dropping-particle":"","family":"Ogilvie","given":"David","non-dropping-particle":"","parse-names":false,"suffix":""},{"dropping-particle":"","family":"Reis","given":"Rodrigo S.","non-dropping-particle":"","parse-names":false,"suffix":""},{"dropping-particle":"","family":"Sallis","given":"James F.","non-dropping-particle":"","parse-names":false,"suffix":""},{"dropping-particle":"","family":"Sarmiento","given":"Olga Lucia","non-dropping-particle":"","parse-names":false,"suffix":""},{"dropping-particle":"","family":"Wells","given":"Jonathan C.","non-dropping-particle":"","parse-names":false,"suffix":""}],"container-title":"The Lancet","id":"ITEM-2","issue":"9838","issued":{"date-parts":[["2012"]]},"page":"294-305","publisher":"Elsevier Ltd","title":"The pandemic of physical inactivity: Global action for public health","type":"article-journal","volume":"380"},"uris":["http://www.mendeley.com/documents/?uuid=7be40c0a-18c7-4e3f-93ee-f87ee1f5e01e"]},{"id":"ITEM-3","itemData":{"DOI":"10.1186/1471-2458-13-813","ISSN":"14712458","PMID":"24010994","abstract":"Background: The treatment of noncommunicable diseases (NCD), like coronary heart disease or type 2 diabetes mellitus, causes rising costs for the health system. Physical activity is supposed to reduce the risk for these diseases. Results of cross-sectional studies showed that physical activity is associated with better health, and that physical activity could prevent the development of these diseases. The purpose of this review is to summarize existing evidence for the long-term (&gt;5 years) relationship between physical activity and weight gain, obesity, coronary heart disease, type 2 diabetes mellitus, Alzheimer's disease and dementia. Methods. Fifteen longitudinal studies with at least 5-year follow up times and a total of 288,724 subjects (&gt;500 participants in each study), aged between 18 and 85 years, were identified using digital databases. Only studies published in English, about healthy adults at baseline, intentional physical activity and the listed NCDs were included. Results: The results of these studies show that physical activity appears to have a positive long-term influence on all selected diseases. Conclusions: This review revealed a paucity of long-term studies on the relationship between physical activity and the incidence of NCD. © 2013 Reiner et al.; licensee BioMed Central Ltd.","author":[{"dropping-particle":"","family":"Reiner","given":"Miriam","non-dropping-particle":"","parse-names":false,"suffix":""},{"dropping-particle":"","family":"Niermann","given":"Christina","non-dropping-particle":"","parse-names":false,"suffix":""},{"dropping-particle":"","family":"Jekauc","given":"Darko","non-dropping-particle":"","parse-names":false,"suffix":""},{"dropping-particle":"","family":"Woll","given":"Alexander","non-dropping-particle":"","parse-names":false,"suffix":""}],"container-title":"BMC Public Health","id":"ITEM-3","issue":"1","issued":{"date-parts":[["2013"]]},"page":"1-9","title":"Long-term health benefits of physical activity - A systematic review of longitudinal studies","type":"article-journal","volume":"13"},"uris":["http://www.mendeley.com/documents/?uuid=723f6d5a-1004-4083-8757-d726d80708b5"]}],"mendeley":{"formattedCitation":"[2,3,4]","plainTextFormattedCitation":"[2,3,4]","previouslyFormattedCitation":"[2,3,4]"},"properties":{"noteIndex":0},"schema":"https://github.com/citation-style-language/schema/raw/master/csl-citation.json"}</w:instrText>
      </w:r>
      <w:r w:rsidR="002F4BE6" w:rsidRPr="00162B16">
        <w:rPr>
          <w:color w:val="auto"/>
        </w:rPr>
        <w:fldChar w:fldCharType="separate"/>
      </w:r>
      <w:r w:rsidR="00C77C01" w:rsidRPr="00162B16">
        <w:rPr>
          <w:noProof/>
          <w:color w:val="auto"/>
        </w:rPr>
        <w:t>[2,3,4]</w:t>
      </w:r>
      <w:r w:rsidR="002F4BE6" w:rsidRPr="00162B16">
        <w:rPr>
          <w:color w:val="auto"/>
        </w:rPr>
        <w:fldChar w:fldCharType="end"/>
      </w:r>
      <w:r w:rsidRPr="00162B16">
        <w:rPr>
          <w:color w:val="auto"/>
        </w:rPr>
        <w:t xml:space="preserve">.  Major life events such as the death of a spouse, a change in job status or a change in residence has been shown to impact on the PA behavior of individuals </w:t>
      </w:r>
      <w:r w:rsidR="002F4BE6" w:rsidRPr="00162B16">
        <w:rPr>
          <w:color w:val="auto"/>
        </w:rPr>
        <w:fldChar w:fldCharType="begin" w:fldLock="1"/>
      </w:r>
      <w:r w:rsidR="003610B8" w:rsidRPr="00162B16">
        <w:rPr>
          <w:color w:val="auto"/>
        </w:rPr>
        <w:instrText>ADDIN CSL_CITATION {"citationItems":[{"id":"ITEM-1","itemData":{"DOI":"10.1177/1090198118822712","ISBN":"1090198118822","ISSN":"15526127","abstract":"Background. Despite promotion of physical activity guidelines, less than one third of U.S. adults are sufficiently active and an even larger number of older adults fail to meet guidelines. To address this major public health issue, it is essential to broadly consider determinants of physical activity. Aims. This study explores how physical activity behavior is affected by the experience of major life events and considers the stress experienced due to these events across the life course. Method. Nationally representative panel data from the Americans’ Changing Lives survey (1986-2012) was used to analyze a growth model with age-based trajectories to examine the relationship between major life events and physical activity overall and separately by gender and race. Results. In the overall sample, retiring was associated with greater physical activity at baseline. As respondents aged, entering into retirement was associated with decreased physical activity, while a parent or friend dying was associated with greater physical activity. Differences by gender and race were also seen over time. Conclusions. Results show that when considering physical activity trajectories, experiencing these major life events is not always detrimental, and in some cases may be beneficial. Considering these impacts is important in planning effective health promotion interventions to increase and promote maintenance of physical activity, while paying attention to specific differences by gender and race.","author":[{"dropping-particle":"","family":"Richards","given":"Elizabeth A.","non-dropping-particle":"","parse-names":false,"suffix":""},{"dropping-particle":"","family":"Thomas","given":"Patricia A.","non-dropping-particle":"","parse-names":false,"suffix":""},{"dropping-particle":"","family":"Forster","given":"Anna K.","non-dropping-particle":"","parse-names":false,"suffix":""},{"dropping-particle":"","family":"Hass","given":"Zachary","non-dropping-particle":"","parse-names":false,"suffix":""}],"container-title":"Health Education and Behavior","id":"ITEM-1","issue":"3","issued":{"date-parts":[["2019"]]},"page":"398-405","title":"A Longitudinal Examination of the Impact of Major Life Events on Physical Activity","type":"article-journal","volume":"46"},"uris":["http://www.mendeley.com/documents/?uuid=4062be63-bc5a-402e-93ef-bef3a98ac7c9"]},{"id":"ITEM-2","itemData":{"DOI":"http://dx.doi.org/10.1186/1479-5868-9-147","abstract":"Background: Major life events are associated with a change in daily routine and could thus also affect habitual levels of physical activity. Major life events remain largely unexplored as determinants of older adults' participation in physical activity and sports. This study focused on two major life events, widowhood and retirement, and asked whether these major life events were associated with moderate to vigorous physical activity (MVPA) and sports participation. Methods: Data from the first (1992-93) and second (1995-96) wave of the Longitudinal Aging Study Amsterdam (LASA), a prospective cohort study among Dutch adults aged 55 and older, were used. Change in marital status and employment status between baseline and follow-up was assessed by self-report. Time spent in MVPA (min/d) and sports participation (yes/no) was calculated based on the LASA Physical Activity Questionnaire. The association of retirement and widowhood with MVPA and sports participation was assessed in separate multivariate linear and logistic regression analyses, respectively. Results: Widowhood - N=136 versus 1324 stable married- was not associated with MVPA (B= 3.5 [95%CI:-57.9;64.9]) or sports participation (OR= 0.8 [95%CI:0.5;1.3]). Retired participants (N= 65) significantly increased their time spent in MVPA (B= 32.5 [95%CI:17.8;47.1]) compared to participants who continued to be employed (N= 121), but not their sports participation. Age was a significant effect modifier (B= 7.5 [90%CI:-1.1;13.8]), indicating a greater increase in MVPA in older retirees. Discussion: Our results suggest that the associations found varied by the two major life events under investigation. MVPA increased after retirement, but no association with widowhood was seen.","author":[{"dropping-particle":"","family":"Koeneman","given":"Margot A","non-dropping-particle":"","parse-names":false,"suffix":""},{"dropping-particle":"","family":"Chinapaw","given":"Mai J M","non-dropping-particle":"","parse-names":false,"suffix":""},{"dropping-particle":"","family":"Verheijden","given":"Marieke W","non-dropping-particle":"","parse-names":false,"suffix":""},{"dropping-particle":"","family":"Tilburg","given":"Theo G","non-dropping-particle":"van","parse-names":false,"suffix":""},{"dropping-particle":"","family":"Visser","given":"Marjolein","non-dropping-particle":"","parse-names":false,"suffix":""},{"dropping-particle":"","family":"Deeg","given":"Dorly J H","non-dropping-particle":"","parse-names":false,"suffix":""},{"dropping-particle":"","family":"Hopman-Rock","given":"Marijke","non-dropping-particle":"","parse-names":false,"suffix":""}],"container-title":"International Journal of Behavioral Nutrition and Physical Activity","id":"ITEM-2","issued":{"date-parts":[["2012"]]},"language":"English","note":"Copyright - © 2012 Koeneman et al.; licensee BioMed Central Ltd. This is an Open Access article distributed under the terms of the Creative Commons Attribution License ( http://creativecommons.org/licenses/by/2.0), which permits unrestricted use, distribution, and reproduction in any medium, provided the original work is properly cited.\nLast updated - 2014-03-08","page":"147","publisher":"BioMed Central","publisher-place":"London","title":"Do major life events influence physical activity among older adults: the Longitudinal Aging Study Amsterdam","type":"article-journal","volume":"9"},"uris":["http://www.mendeley.com/documents/?uuid=9936a31d-6281-4441-8e40-d7e0e2d59085"]}],"mendeley":{"formattedCitation":"[5,6]","plainTextFormattedCitation":"[5,6]","previouslyFormattedCitation":"[5,6]"},"properties":{"noteIndex":0},"schema":"https://github.com/citation-style-language/schema/raw/master/csl-citation.json"}</w:instrText>
      </w:r>
      <w:r w:rsidR="002F4BE6" w:rsidRPr="00162B16">
        <w:rPr>
          <w:color w:val="auto"/>
        </w:rPr>
        <w:fldChar w:fldCharType="separate"/>
      </w:r>
      <w:r w:rsidR="00C77C01" w:rsidRPr="00162B16">
        <w:rPr>
          <w:noProof/>
          <w:color w:val="auto"/>
        </w:rPr>
        <w:t>[5,6]</w:t>
      </w:r>
      <w:r w:rsidR="002F4BE6" w:rsidRPr="00162B16">
        <w:rPr>
          <w:color w:val="auto"/>
        </w:rPr>
        <w:fldChar w:fldCharType="end"/>
      </w:r>
      <w:r w:rsidRPr="00162B16">
        <w:rPr>
          <w:color w:val="auto"/>
        </w:rPr>
        <w:t xml:space="preserve">. </w:t>
      </w:r>
    </w:p>
    <w:p w14:paraId="7EA2DB53" w14:textId="57D9ABAE" w:rsidR="0051320F" w:rsidRPr="00162B16" w:rsidRDefault="0051320F" w:rsidP="00A83A2E">
      <w:pPr>
        <w:pStyle w:val="MDPI31text"/>
        <w:rPr>
          <w:b/>
          <w:color w:val="auto"/>
        </w:rPr>
      </w:pPr>
      <w:r w:rsidRPr="00162B16">
        <w:rPr>
          <w:color w:val="auto"/>
        </w:rPr>
        <w:t xml:space="preserve">Retirement is a life event which is of interest because it is a social process which working individuals experience </w:t>
      </w:r>
      <w:r w:rsidR="002F4BE6" w:rsidRPr="00162B16">
        <w:rPr>
          <w:color w:val="auto"/>
        </w:rPr>
        <w:fldChar w:fldCharType="begin" w:fldLock="1"/>
      </w:r>
      <w:r w:rsidR="003610B8" w:rsidRPr="00162B16">
        <w:rPr>
          <w:color w:val="auto"/>
        </w:rPr>
        <w:instrText>ADDIN CSL_CITATION {"citationItems":[{"id":"ITEM-1","itemData":{"DOI":"10.1093/geronb/gbp109.","ISBN":"1079-5014","ISSN":"1758-5368","PMID":"20008480","abstract":"The shifting boundary between work and retirement and the always-emergent features of retirement practice create a wide opportunity for scholarship and research. After an overview of the scope of retirement research, this article articulates 4 areas that deserve special attention in the present historical circumstance: studies of the form and timing of retirement exits, the labor market for older workers, the quality of pensions, and the experience of retired life. The field should be wary of prescribing regimes of behavior for late careers and retirement that many people are unsuited to fulfill.","author":[{"dropping-particle":"","family":"Ekerdt","given":"David J.","non-dropping-particle":"","parse-names":false,"suffix":""}],"container-title":"The journals of gerontology. Series B, Psychological sciences and social sciences","id":"ITEM-1","issue":"1","issued":{"date-parts":[["2010"]]},"page":"69-80","title":"Frontiers of research on work and retirement.","type":"article-journal","volume":"65B"},"uris":["http://www.mendeley.com/documents/?uuid=22d0581c-49c7-4bf2-9bd6-e8888466052c"]}],"mendeley":{"formattedCitation":"[7]","plainTextFormattedCitation":"[7]","previouslyFormattedCitation":"[7]"},"properties":{"noteIndex":0},"schema":"https://github.com/citation-style-language/schema/raw/master/csl-citation.json"}</w:instrText>
      </w:r>
      <w:r w:rsidR="002F4BE6" w:rsidRPr="00162B16">
        <w:rPr>
          <w:color w:val="auto"/>
        </w:rPr>
        <w:fldChar w:fldCharType="separate"/>
      </w:r>
      <w:r w:rsidR="00C77C01" w:rsidRPr="00162B16">
        <w:rPr>
          <w:noProof/>
          <w:color w:val="auto"/>
        </w:rPr>
        <w:t>[7]</w:t>
      </w:r>
      <w:r w:rsidR="002F4BE6" w:rsidRPr="00162B16">
        <w:rPr>
          <w:color w:val="auto"/>
        </w:rPr>
        <w:fldChar w:fldCharType="end"/>
      </w:r>
      <w:r w:rsidRPr="00162B16">
        <w:rPr>
          <w:color w:val="auto"/>
        </w:rPr>
        <w:t xml:space="preserve">. Globally there is no standard age at which people retire from paid work. For this study, we defined retirement as receiving a retirement pension as it presented an exit from paid employment. Until 2008, in Malta, people receiving a retirement pension were unable to work in gained employment. Transitioning from work to retirement can cause changes in lifestyle, and is an opportunity whereby PA can be increased as new life adjustments are taking place </w:t>
      </w:r>
      <w:r w:rsidR="002F4BE6" w:rsidRPr="00162B16">
        <w:rPr>
          <w:color w:val="auto"/>
        </w:rPr>
        <w:fldChar w:fldCharType="begin" w:fldLock="1"/>
      </w:r>
      <w:r w:rsidR="003610B8" w:rsidRPr="00162B16">
        <w:rPr>
          <w:color w:val="auto"/>
        </w:rPr>
        <w:instrText>ADDIN CSL_CITATION {"citationItems":[{"id":"ITEM-1","itemData":{"DOI":"http://dx.doi.org/10.1136/jech-2013-203225","ISBN":"0143005X","PMID":"1779284815","abstract":"Background Retirement is associated with an increase in recreational physical activity but its impact on other domains of activity (at home, for transport) and sedentary behaviour, such as time spent watching television (TV) is unknown. We examined the association between retirement and changes in domain-specific and overall activity and TV viewing. Methods Data were derived from the population-based EPIC (European Prospective Investigation into Cancer)-Norfolk cohort. Physical activity and TV viewing time were self-reported at baseline (1997-2000) and follow-up 2 (2006-2007) by 3334 participants employed at baseline, of whom 785 (24%) were retired at follow-up 1 (2002-2006). Multivariable regression models were fitted to estimate the association between retirement and changes in physical activity and weekly TV viewing time. Results Compared with continued employment, retirement was associated with a decline in overall activity (men: non-manual, -40.9 MET h/wk; manual, -49.6 MET h/wk; women: non-manual, -26.9 MET h/wk; manual, -31.6 MET h/wk; all p&lt;0.001 (MET, metabolic equivalent of task)). Domain-specific activity declined for transport and occupational (p&lt;0.001) and increased for recreational (p&lt;0.02) and household (pâ[per thousand]¤0.002) activity. We observed significant interaction between retirement and social class in respect of overall and domain-specific activity apart from household activity. Retirement was associated with a mean increase in TV viewing time, with the largest increase among manual social classes (men: +3.9 h/wk; women: +2.8 h/wk; both p&lt;0.001). Conclusions Interventions should aim to promote household and transport as well as recreational activity. Further research on the impact of retirement on sedentary behaviour is needed.","author":[{"dropping-particle":"","family":"Barnett","given":"Inka","non-dropping-particle":"","parse-names":false,"suffix":""},{"dropping-particle":"","family":"Sluijs","given":"Esther","non-dropping-particle":"van","parse-names":false,"suffix":""},{"dropping-particle":"","family":"Ogilvie","given":"David","non-dropping-particle":"","parse-names":false,"suffix":""},{"dropping-particle":"","family":"Wareham","given":"Nicholas J","non-dropping-particle":"","parse-names":false,"suffix":""}],"container-title":"J Epidemiol Community Health","id":"ITEM-1","issue":"8","issued":{"date-parts":[["2014"]]},"language":"English","note":"Copyright - Copyright: 2014 Published by the BMJ Publishing Group Limited. For permission to use (where not already granted under a licence) please go to http://group.bmj.com/group/rights-licensing/permissions\nLast updated - 2016-04-07\nCODEN - JECHDR","page":"747","publisher":"BMJ Publishing Group LTD","publisher-place":"London","title":"Changes in household, transport and recreational physical activity and television viewing time across the transition to retirement: longitudinal evidence from the EPIC-Norfolk cohort","type":"article-journal","volume":"68"},"uris":["http://www.mendeley.com/documents/?uuid=40ad0e07-6e69-437e-920f-ecbd0cf0ccb6"]},{"id":"ITEM-2","itemData":{"DOI":"10.3310/phr04040","PMID":"27148615","abstract":"Background: It has been argued that transition points in life, such as the approach towards and early years of retirement, present key opportunities for interventions to improve the health of the population. Interventions that may change or preserve activity levels around the time of retirement have the potential to provide benefits in terms of increased health and well-being for people in later life. Research has highlighted health inequalities in health statuses in the retired population and in response to interventions.; Objective: We aimed to conduct a systematic review and meta-synthesis of the types and effectiveness of interventions to increase physical activity among people around the time of retirement. We also aimed to identify factors that may underpin the effectiveness or acceptability of interventions, and how issues of health inequalities may be addressed.; Data Sources: The following electronic databases were searched: (1) MEDLINE; (2) Applied Social Sciences Index and Abstracts; (3) The Cochrane Library (including The Cochrane Database of Systematic Reviews, Cochrane Central Register of Controlled Trials, Database of Abstracts of Reviews of Effects, Health Technology Assessment Database); (4) Cumulative Index to Nursing and Allied Health Literature; (5) Science Citation Index; (6) Social Science Citation Index; (7) PsycINFO; (8) Evidence for Policy and Practice Information and Co-ordinating Centre; (9) SPORTDiscus; (10) Social Policy and Practice; (11) Health Management Information Consortium; and (12) Sociological Abstracts. We also searched for grey literature, checked reference lists of included papers and screened other reviews.; Review Methods: A systematic review of quantitative and qualitative literature was carried out between February 2014 and April 2015. The searches aimed to identify, first, evidence of effectiveness of interventions for older adults at the point of transition to retirement and, second, data relating to perceptions of barriers and facilitators to intervention effectiveness. A meta-synthesis of the two types of evidence was also carried out to provide further interpretation of the review findings.; Results: A systematic search of the literature identified a large number of potentially relevant studies. Of these, 103 studies examining the effectiveness of interventions and 55 qualitative papers met the criteria for inclusion. A review of the effectiveness literature indicated a dearth of studies that investigate…","author":[{"dropping-particle":"","family":"Baxter","given":"Susan","non-dropping-particle":"","parse-names":false,"suffix":""},{"dropping-particle":"","family":"Blank","given":"Lindsay","non-dropping-particle":"","parse-names":false,"suffix":""},{"dropping-particle":"","family":"Johnson","given":"Maxine","non-dropping-particle":"","parse-names":false,"suffix":""},{"dropping-particle":"","family":"Everson-Hock","given":"Emma","non-dropping-particle":"","parse-names":false,"suffix":""},{"dropping-particle":"","family":"Woods","given":"Helen B","non-dropping-particle":"","parse-names":false,"suffix":""},{"dropping-particle":"","family":"Goyder","given":"Elizabeth","non-dropping-particle":"","parse-names":false,"suffix":""},{"dropping-particle":"","family":"Payne","given":"Nick","non-dropping-particle":"","parse-names":false,"suffix":""},{"dropping-particle":"","family":"Mountain","given":"Gail","non-dropping-particle":"","parse-names":false,"suffix":""}],"container-title":"Public health research","id":"ITEM-2","issue":"4","issued":{"date-parts":[["2016"]]},"note":"Accession Number: 27148615. Language: English. Update Code: 20160816. Publication Type: Review. Date of Electronic Publication: 20160401. Current Imprints: Southampton (UK) : NIHR Journals Library Book AN: NBK356474","page":"1-138","publisher":"NIHR Journals Library","title":"Interventions to promote or maintain physical activity during and after the transition to retirement: an evidence synthesis","type":"article-journal","volume":"4"},"uris":["http://www.mendeley.com/documents/?uuid=1636f5ed-3a08-45cc-947f-46629c598fda"]}],"mendeley":{"formattedCitation":"[8,9]","plainTextFormattedCitation":"[8,9]","previouslyFormattedCitation":"[8,9]"},"properties":{"noteIndex":0},"schema":"https://github.com/citation-style-language/schema/raw/master/csl-citation.json"}</w:instrText>
      </w:r>
      <w:r w:rsidR="002F4BE6" w:rsidRPr="00162B16">
        <w:rPr>
          <w:color w:val="auto"/>
        </w:rPr>
        <w:fldChar w:fldCharType="separate"/>
      </w:r>
      <w:r w:rsidR="00C77C01" w:rsidRPr="00162B16">
        <w:rPr>
          <w:noProof/>
          <w:color w:val="auto"/>
        </w:rPr>
        <w:t>[8,9]</w:t>
      </w:r>
      <w:r w:rsidR="002F4BE6" w:rsidRPr="00162B16">
        <w:rPr>
          <w:color w:val="auto"/>
        </w:rPr>
        <w:fldChar w:fldCharType="end"/>
      </w:r>
      <w:r w:rsidRPr="00162B16">
        <w:rPr>
          <w:color w:val="auto"/>
        </w:rPr>
        <w:t>.</w:t>
      </w:r>
    </w:p>
    <w:p w14:paraId="48C50CFE" w14:textId="7E061B36" w:rsidR="0051320F" w:rsidRPr="00162B16" w:rsidRDefault="0051320F" w:rsidP="00A83A2E">
      <w:pPr>
        <w:pStyle w:val="MDPI31text"/>
        <w:rPr>
          <w:b/>
          <w:color w:val="auto"/>
        </w:rPr>
      </w:pPr>
      <w:r w:rsidRPr="00162B16">
        <w:rPr>
          <w:color w:val="auto"/>
        </w:rPr>
        <w:lastRenderedPageBreak/>
        <w:t>Research highlights that leisure time PA</w:t>
      </w:r>
      <w:r w:rsidR="00166F7D" w:rsidRPr="00162B16">
        <w:rPr>
          <w:color w:val="auto"/>
        </w:rPr>
        <w:t>, walking and domestic activities</w:t>
      </w:r>
      <w:r w:rsidRPr="00162B16">
        <w:rPr>
          <w:color w:val="auto"/>
        </w:rPr>
        <w:t xml:space="preserve"> increase after retirement</w:t>
      </w:r>
      <w:r w:rsidR="00867159" w:rsidRPr="00162B16">
        <w:rPr>
          <w:color w:val="auto"/>
        </w:rPr>
        <w:t>,</w:t>
      </w:r>
      <w:r w:rsidRPr="00162B16">
        <w:rPr>
          <w:color w:val="auto"/>
        </w:rPr>
        <w:t xml:space="preserve"> but </w:t>
      </w:r>
      <w:r w:rsidR="00166F7D" w:rsidRPr="00162B16">
        <w:rPr>
          <w:color w:val="auto"/>
        </w:rPr>
        <w:t xml:space="preserve">transport and total </w:t>
      </w:r>
      <w:r w:rsidRPr="00162B16">
        <w:rPr>
          <w:color w:val="auto"/>
        </w:rPr>
        <w:t xml:space="preserve">PA behavior decreases </w:t>
      </w:r>
      <w:r w:rsidR="008F2806" w:rsidRPr="00162B16">
        <w:rPr>
          <w:color w:val="auto"/>
        </w:rPr>
        <w:fldChar w:fldCharType="begin" w:fldLock="1"/>
      </w:r>
      <w:r w:rsidR="003610B8" w:rsidRPr="00162B16">
        <w:rPr>
          <w:color w:val="auto"/>
        </w:rPr>
        <w:instrText>ADDIN CSL_CITATION {"citationItems":[{"id":"ITEM-1","itemData":{"DOI":"10.1016/j.amepre.2012.05.026","ISBN":"0749-3797","ISSN":"07493797","PMID":"22898127","abstract":"Context: The transition to retirement has been recognized as a turning point in determining physical activity and may present a critical \"window\" for promoting physical activity. This systematic review examined changes in physical activity across the retirement transition, whether these changes vary by SES, and what is known about predictors of these changes. Evidence acquisition: Peer-reviewed articles and gray research literature, published between January 1980 and July 2010 in any country or language, were identified. Longitudinal and cross-sectional observational studies were included. Study selection, quality assessment, data extraction, and synthesis were performed between July 2010 and March 2011. A harvest plot approach to visualizing the findings was combined with a narrative synthesis. Evidence synthesis: Of the 19 included studies, 11 examined changes in exercise, or leisure-time physical activity, or both; seven, changes in total physical activity; and one study, both. Most studies used single-item measures of physical activity (n=9) or custom questionnaires (n=6). Results suggested that exercise and leisure-time physical activity increased after the retirement transition, whereas findings regarding total physical activity were inconsistent. SES moderated the association, with low SES being associated with a decrease and high SES with an increase in physical activity. Evidence on predictors of change was scarce and methodologically weak. Conclusions: Evidence suggests that exercise and leisure-time physical activity increases after the retirement transition, but whether and how total physical activity changes is unclear. Imprecise physical activity measures used in primary studies limit conclusions, and this highlights the need for further research. ?? 2012 American Journal of Preventive Medicine.","author":[{"dropping-particle":"","family":"Barnett","given":"Inka","non-dropping-particle":"","parse-names":false,"suffix":""},{"dropping-particle":"","family":"Sluijs","given":"Esther M F","non-dropping-particle":"van","parse-names":false,"suffix":""},{"dropping-particle":"","family":"Ogilvie","given":"David","non-dropping-particle":"","parse-names":false,"suffix":""}],"container-title":"American Journal of Preventive Medicine","id":"ITEM-1","issue":"3","issued":{"date-parts":[["2012"]]},"note":"From Duplicate 2 (Physical activity and transitioning to retirement: a systematic review - Barnett, Inka; van Sluijs, Esther M F; Ogilvie, David)\n\nFrom Duplicate 2 (Physical activity and transitioning to retirement: a systematic review - Barnett, Inka; van Sluijs, Esther M F; Ogilvie, David)\n\ndiscussion 206. (PMID: 12782543). Cites: Am J Prev Med. 2003 Oct;25(3 Suppl 2):129-36. (PMID: 14552936). Cites: Br J Cancer. 2004 Jan 26;90(2):299-303. (PMID: 14735167). Cites: Int J Aging Hum Dev. 2004;59(1):63-84. (PMID: 15453412). Cites: Q J Exp Physiol. 1986 Jan;71(1):47-58. (PMID: 3952261). Cites: Int J Aging Hum Dev. 1991;33(2):151-69. (PMID: 1955209). Cites: Clin Geriatr Med. 1992 Feb;8(1):1-17. (PMID: 1576567). Cites: J Gerontol B Psychol Sci Soc Sci. 1995 Jan;50(1):S59-S61. (PMID: 7757831). Cites: Med Sci Sports Exerc. 1996 May;28(5):596-600. (PMID: 9148090). Cites: Med Sci Sports Exerc. 1998 Jun;30(6):992-1008. (PMID: 9624662). Cites: J Aging Health. 1996 Nov;8(4):467-88. (PMID: 10182382). Cites: Soc Sci Med. 2005 May;60(9):1987-2010. (PMID: 15743649). Cites: Am J Prev Med. 2005 Apr;28(3):298-304. (PMID: 15766620). Cites: Eur J Public Health. 2005 Jun;15(3):317-22. (PMID: 15941745). Cites: Gerontologist. 2006 Aug;46(4):514-23. (PMID: 16921005). Cites: J Gerontol B Psychol Sci Soc Sci. 2006 Sep;61(5):S267-73. (PMID: 16960240). Cites: Promot Educ. 2006;13(2):92-103. (PMID: 17017286). Cites: Am J Epidemiol. 2007 Jun 15;165(12):1356-63. (PMID: 17420180). Cites: Eur J Epidemiol. 2007;22(6):353-62. (PMID: 17599242). Cites: Age Ageing. 2007 Nov;36(6):638-43. (PMID: 17906305). Cites: Med Sci Sports Exerc. 2008 Jan;40(1):181-8. (PMID: 18091006). Cites: BMC Med Res Methodol. 2008;8:8. (PMID: 18298827). Cites: Health Promot Int. 2008 Jun;23(2):160-72. (PMID: 18364364). Cites: J Aging Health. 2008 Oct;20(7):767-87. (PMID: 18559963). Cites: Eur J Public Health. 2008 Dec;18(6):644-9. (PMID: 18927184). Cites: Am J Prev Med. 2009 May;36(5):422-8. (PMID: 19269129). Cites: Gerontologist. 2009 Jun;49(3):397-406. (PMID: 19386829). Cites: Br J Sports Med. 2009 Jun;43(6):442-50. (PMID: 18487253). Cites: Ann Behav Med. 2009 Jun;37(3):294-305. (PMID: 19506989). Cites: Rejuvenation Res. 2010 Feb;13(1):105-14. (PMID: 20230284). Cites: Eur J Cardiovasc Prev Rehabil. 2010 Apr;17(2):127-39. (PMID: 20215971). Cites: Br J Sports Med. 2011 Mar;45(3):203-8. (PMID: 20484314). Cites: Fam Community Health. 2001 Jul;24(2):49-72. (PMID: 11373166). Cites: Am J Prev Med. 2001 Nov;21(4):306-12. (PMID: 11701302). Cites: J Gerontol B Psychol Sci Soc Sci. 2002 May;57(3):P212-22. (PMID: 11983732). Linking ISSN: 07493797. Subset: IM; Grant Information: MC_U106179474 United Kingdom Medical Research Council; United Kingdom Wellcome Trust Date of Electronic Publication: 20120901. Current Imprints: Publication: Amsterdam : Elsevier Science; Original Imprints: Publication: [New York, NY] : Oxford University Press, [c1985-","page":"329-336","publisher":"Elsevier Inc.","publisher-place":"Netherlands","title":"Physical activity and transitioning to retirement: A systematic review","type":"article-journal","volume":"43"},"uris":["http://www.mendeley.com/documents/?uuid=e0ddd2c9-5f31-4441-909c-4e66fb803eb8"]}],"mendeley":{"formattedCitation":"[10]","plainTextFormattedCitation":"[10]","previouslyFormattedCitation":"[10]"},"properties":{"noteIndex":0},"schema":"https://github.com/citation-style-language/schema/raw/master/csl-citation.json"}</w:instrText>
      </w:r>
      <w:r w:rsidR="008F2806" w:rsidRPr="00162B16">
        <w:rPr>
          <w:color w:val="auto"/>
        </w:rPr>
        <w:fldChar w:fldCharType="separate"/>
      </w:r>
      <w:r w:rsidR="00C77C01" w:rsidRPr="00162B16">
        <w:rPr>
          <w:noProof/>
          <w:color w:val="auto"/>
        </w:rPr>
        <w:t>[10]</w:t>
      </w:r>
      <w:r w:rsidR="008F2806" w:rsidRPr="00162B16">
        <w:rPr>
          <w:color w:val="auto"/>
        </w:rPr>
        <w:fldChar w:fldCharType="end"/>
      </w:r>
      <w:r w:rsidRPr="00162B16">
        <w:rPr>
          <w:color w:val="auto"/>
        </w:rPr>
        <w:t xml:space="preserve">. </w:t>
      </w:r>
      <w:r w:rsidR="00691584" w:rsidRPr="00162B16">
        <w:rPr>
          <w:color w:val="auto"/>
        </w:rPr>
        <w:t>There is also a preference for the intensity of PA</w:t>
      </w:r>
      <w:r w:rsidR="003610B8" w:rsidRPr="00162B16">
        <w:rPr>
          <w:color w:val="auto"/>
        </w:rPr>
        <w:t xml:space="preserve"> </w:t>
      </w:r>
      <w:r w:rsidR="00691584" w:rsidRPr="00162B16">
        <w:rPr>
          <w:color w:val="auto"/>
        </w:rPr>
        <w:t>to be of</w:t>
      </w:r>
      <w:r w:rsidR="00166F7D" w:rsidRPr="00162B16">
        <w:rPr>
          <w:color w:val="auto"/>
        </w:rPr>
        <w:t xml:space="preserve"> light and moderate </w:t>
      </w:r>
      <w:r w:rsidR="00691584" w:rsidRPr="00162B16">
        <w:rPr>
          <w:color w:val="auto"/>
        </w:rPr>
        <w:t>intensity</w:t>
      </w:r>
      <w:r w:rsidR="002E0607" w:rsidRPr="00162B16">
        <w:rPr>
          <w:color w:val="auto"/>
        </w:rPr>
        <w:t xml:space="preserve"> </w:t>
      </w:r>
      <w:r w:rsidR="002E0607" w:rsidRPr="00162B16">
        <w:rPr>
          <w:color w:val="auto"/>
        </w:rPr>
        <w:fldChar w:fldCharType="begin" w:fldLock="1"/>
      </w:r>
      <w:r w:rsidR="003610B8" w:rsidRPr="00162B16">
        <w:rPr>
          <w:color w:val="auto"/>
        </w:rPr>
        <w:instrText>ADDIN CSL_CITATION {"citationItems":[{"id":"ITEM-1","itemData":{"DOI":"10.1371/journal.pone.0234794","ISBN":"1111111111","ISSN":"19326203","PMID":"32569282","abstract":"Background: Physical activity (PA) is a fluctuating behavior and prone to change across the life course. Changes in PA may be particularly due to the experience of life events and transitions. For well-timed and successful PA interventions, it is important to understand when and why individuals take up or terminate PA. Objectives: This scoping review aims to examine the extent, range, and nature of research on the impact of life events and transitions on PA and to summarize key findings. Methods: A systematic literature search was conducted in PubMed, PsycINFO, PsycARTICLES, SPORTDiscus, and Web of Science. Articles were included if they had been published in peer-reviewed journals between 1998 and 2020 and assessed the impact of at least one life event or transition on PA. Results: 107 studies that assessed 72 distinct life events and transitions were included and summarized in ten categories. Events and transitions that are primarily associated with decreases in PA were starting cohabitation, getting married, pregnancy, evolving parenthood, and the transitions from kindergarten to primary school, from primary to secondary school, and from high school to college or into the labor market. Retirement was associated with increases in PA; yet, long-term trajectories across retirement indicated a subsequent drop in activity levels. Divorce was associated with no changes in PA. No trends could be identified for changing work conditions, quitting or losing a job, starting a new relationship, widowhood, moving, and diagnosis of illness. Conclusion: Life events and transitions can be conceptualized as natural interventions that occur across the life course and that are oftentimes associated with changes in PA behavior. Our study indicates that, despite some emerging trends, similar events do not necessarily have similar impacts on PA across individuals. It also shows that the research landscape is characterized by a lack of conceptual clarity and by disparate methodologies, making it difficult to synthesize results across studies.","author":[{"dropping-particle":"","family":"Gropper","given":"Hannes","non-dropping-particle":"","parse-names":false,"suffix":""},{"dropping-particle":"","family":"John","given":"Jannika M.","non-dropping-particle":"","parse-names":false,"suffix":""},{"dropping-particle":"","family":"Sudeck","given":"Gorden","non-dropping-particle":"","parse-names":false,"suffix":""},{"dropping-particle":"","family":"Thiel","given":"Ansgar","non-dropping-particle":"","parse-names":false,"suffix":""}],"container-title":"PLoS ONE","id":"ITEM-1","issue":"6 June","issued":{"date-parts":[["2020"]]},"page":"1-24","title":"The impact of life events and transitions on physical activity: A scoping review","type":"article-journal","volume":"15"},"uris":["http://www.mendeley.com/documents/?uuid=cd8a7398-94a4-4b3b-a92a-7ef1cfe27757"]}],"mendeley":{"formattedCitation":"[11]","plainTextFormattedCitation":"[11]","previouslyFormattedCitation":"[11]"},"properties":{"noteIndex":0},"schema":"https://github.com/citation-style-language/schema/raw/master/csl-citation.json"}</w:instrText>
      </w:r>
      <w:r w:rsidR="002E0607" w:rsidRPr="00162B16">
        <w:rPr>
          <w:color w:val="auto"/>
        </w:rPr>
        <w:fldChar w:fldCharType="separate"/>
      </w:r>
      <w:r w:rsidR="00C77C01" w:rsidRPr="00162B16">
        <w:rPr>
          <w:noProof/>
          <w:color w:val="auto"/>
        </w:rPr>
        <w:t>[11]</w:t>
      </w:r>
      <w:r w:rsidR="002E0607" w:rsidRPr="00162B16">
        <w:rPr>
          <w:color w:val="auto"/>
        </w:rPr>
        <w:fldChar w:fldCharType="end"/>
      </w:r>
      <w:r w:rsidR="00166F7D" w:rsidRPr="00162B16">
        <w:rPr>
          <w:color w:val="auto"/>
        </w:rPr>
        <w:t xml:space="preserve">. </w:t>
      </w:r>
      <w:r w:rsidRPr="00162B16">
        <w:rPr>
          <w:color w:val="auto"/>
        </w:rPr>
        <w:t xml:space="preserve">There is inconclusive evidence as to whether changes in PA during and after this major life event are maintained. Longitudinal studies on retirement indicate an initial increase with subsequent declines or stabilization of PA behavior thereafter </w:t>
      </w:r>
      <w:r w:rsidR="008F2806" w:rsidRPr="00162B16">
        <w:rPr>
          <w:color w:val="auto"/>
        </w:rPr>
        <w:fldChar w:fldCharType="begin" w:fldLock="1"/>
      </w:r>
      <w:r w:rsidR="003610B8" w:rsidRPr="00162B16">
        <w:rPr>
          <w:color w:val="auto"/>
        </w:rPr>
        <w:instrText>ADDIN CSL_CITATION {"citationItems":[{"id":"ITEM-1","itemData":{"DOI":"10.1371/journal.pone.0234794","ISBN":"1111111111","ISSN":"19326203","PMID":"32569282","abstract":"Background: Physical activity (PA) is a fluctuating behavior and prone to change across the life course. Changes in PA may be particularly due to the experience of life events and transitions. For well-timed and successful PA interventions, it is important to understand when and why individuals take up or terminate PA. Objectives: This scoping review aims to examine the extent, range, and nature of research on the impact of life events and transitions on PA and to summarize key findings. Methods: A systematic literature search was conducted in PubMed, PsycINFO, PsycARTICLES, SPORTDiscus, and Web of Science. Articles were included if they had been published in peer-reviewed journals between 1998 and 2020 and assessed the impact of at least one life event or transition on PA. Results: 107 studies that assessed 72 distinct life events and transitions were included and summarized in ten categories. Events and transitions that are primarily associated with decreases in PA were starting cohabitation, getting married, pregnancy, evolving parenthood, and the transitions from kindergarten to primary school, from primary to secondary school, and from high school to college or into the labor market. Retirement was associated with increases in PA; yet, long-term trajectories across retirement indicated a subsequent drop in activity levels. Divorce was associated with no changes in PA. No trends could be identified for changing work conditions, quitting or losing a job, starting a new relationship, widowhood, moving, and diagnosis of illness. Conclusion: Life events and transitions can be conceptualized as natural interventions that occur across the life course and that are oftentimes associated with changes in PA behavior. Our study indicates that, despite some emerging trends, similar events do not necessarily have similar impacts on PA across individuals. It also shows that the research landscape is characterized by a lack of conceptual clarity and by disparate methodologies, making it difficult to synthesize results across studies.","author":[{"dropping-particle":"","family":"Gropper","given":"Hannes","non-dropping-particle":"","parse-names":false,"suffix":""},{"dropping-particle":"","family":"John","given":"Jannika M.","non-dropping-particle":"","parse-names":false,"suffix":""},{"dropping-particle":"","family":"Sudeck","given":"Gorden","non-dropping-particle":"","parse-names":false,"suffix":""},{"dropping-particle":"","family":"Thiel","given":"Ansgar","non-dropping-particle":"","parse-names":false,"suffix":""}],"container-title":"PLoS ONE","id":"ITEM-1","issue":"6 June","issued":{"date-parts":[["2020"]]},"page":"1-24","title":"The impact of life events and transitions on physical activity: A scoping review","type":"article-journal","volume":"15"},"uris":["http://www.mendeley.com/documents/?uuid=cd8a7398-94a4-4b3b-a92a-7ef1cfe27757"]}],"mendeley":{"formattedCitation":"[11]","plainTextFormattedCitation":"[11]","previouslyFormattedCitation":"[11]"},"properties":{"noteIndex":0},"schema":"https://github.com/citation-style-language/schema/raw/master/csl-citation.json"}</w:instrText>
      </w:r>
      <w:r w:rsidR="008F2806" w:rsidRPr="00162B16">
        <w:rPr>
          <w:color w:val="auto"/>
        </w:rPr>
        <w:fldChar w:fldCharType="separate"/>
      </w:r>
      <w:r w:rsidR="00C77C01" w:rsidRPr="00162B16">
        <w:rPr>
          <w:noProof/>
          <w:color w:val="auto"/>
        </w:rPr>
        <w:t>[11]</w:t>
      </w:r>
      <w:r w:rsidR="008F2806" w:rsidRPr="00162B16">
        <w:rPr>
          <w:color w:val="auto"/>
        </w:rPr>
        <w:fldChar w:fldCharType="end"/>
      </w:r>
      <w:r w:rsidRPr="00162B16">
        <w:rPr>
          <w:color w:val="auto"/>
        </w:rPr>
        <w:t xml:space="preserve">. Differences in reported findings are attributed to the aspect of PA domains being examined and sex differences. Socio-economic status (SES) has been identified to influence the transition into retirement in different ways. After retirement people in a lower SES tend to engage in lower moderate and vigorous PA levels </w:t>
      </w:r>
      <w:r w:rsidR="008F2806" w:rsidRPr="00162B16">
        <w:rPr>
          <w:color w:val="auto"/>
        </w:rPr>
        <w:fldChar w:fldCharType="begin" w:fldLock="1"/>
      </w:r>
      <w:r w:rsidR="003610B8" w:rsidRPr="00162B16">
        <w:rPr>
          <w:color w:val="auto"/>
        </w:rPr>
        <w:instrText>ADDIN CSL_CITATION {"citationItems":[{"id":"ITEM-1","itemData":{"DOI":"10.1016/j.amepre.2018.02.022","ISBN":"0749-3797","ISSN":"18732607","abstract":"Introduction: Physical activity and sedentary behavior are major risk factors for chronic disease. These behaviors may change at retirement, with implications for health in later life. The study objective was to describe longitudinal patterns of moderate to vigorous and domain-specific physical activity and TV watching by retirement status. Methods: Participants in the Multi-Ethnic Study of Atherosclerosis (n=6,814) were recruited from six U.S. communities and were aged 45–84 years at baseline. Retirement status and frequency and duration of domain-specific physical activity (recreational walking, transport walking, non-walking leisure activity, caregiving, household, occupational/volunteer) and TV watching were self-reported at four study exams (2000 to 2012). Fixed effect linear regression models were used to describe longitudinal patterns in physical activity and TV watching by retirement status overall and stratified by socioeconomic position. Analyses were conducted in 2017. Results: Of 4,091 Multi-Ethnic Study of Atherosclerosis participants not retired at baseline, 1,012 (25%) retired during a median of 9 years follow-up. Retirement was associated with a 10% decrease (95% CI= –15%, –5%) in moderate to vigorous physical activity and increases of 13% to 29% in recreational walking, household activity, and TV watching. Among people of low socioeconomic position, the magnitude of association was larger for moderate to vigorous physical activity. Among people of high socioeconomic position, the magnitude of association was larger for non-walking leisure and household activity. Conclusions: The retirement transition was associated with changes in physical activity and TV watching. To inform intervention development, future research is needed on the determinants of behavior change after retirement, particularly among individuals of low socioeconomic position.","author":[{"dropping-particle":"","family":"Jones","given":"Sydney A.","non-dropping-particle":"","parse-names":false,"suffix":""},{"dropping-particle":"","family":"Li","given":"Quefeng","non-dropping-particle":"","parse-names":false,"suffix":""},{"dropping-particle":"","family":"Aiello","given":"Allison E.","non-dropping-particle":"","parse-names":false,"suffix":""},{"dropping-particle":"","family":"O'Rand","given":"Angela M.","non-dropping-particle":"","parse-names":false,"suffix":""},{"dropping-particle":"","family":"Evenson","given":"Kelly R.","non-dropping-particle":"","parse-names":false,"suffix":""}],"container-title":"American Journal of Preventive Medicine","id":"ITEM-1","issue":"6","issued":{"date-parts":[["2018"]]},"page":"786-794","publisher":"Elsevier Inc.","title":"Physical Activity, Sedentary Behavior, and Retirement: The Multi-Ethnic Study of Atherosclerosis","type":"article-journal","volume":"54"},"uris":["http://www.mendeley.com/documents/?uuid=b378490f-a080-4b8c-a990-b16a7f3b4c30"]}],"mendeley":{"formattedCitation":"[12]","plainTextFormattedCitation":"[12]","previouslyFormattedCitation":"[12]"},"properties":{"noteIndex":0},"schema":"https://github.com/citation-style-language/schema/raw/master/csl-citation.json"}</w:instrText>
      </w:r>
      <w:r w:rsidR="008F2806" w:rsidRPr="00162B16">
        <w:rPr>
          <w:color w:val="auto"/>
        </w:rPr>
        <w:fldChar w:fldCharType="separate"/>
      </w:r>
      <w:r w:rsidR="00C77C01" w:rsidRPr="00162B16">
        <w:rPr>
          <w:noProof/>
          <w:color w:val="auto"/>
        </w:rPr>
        <w:t>[12]</w:t>
      </w:r>
      <w:r w:rsidR="008F2806" w:rsidRPr="00162B16">
        <w:rPr>
          <w:color w:val="auto"/>
        </w:rPr>
        <w:fldChar w:fldCharType="end"/>
      </w:r>
      <w:r w:rsidRPr="00162B16">
        <w:rPr>
          <w:color w:val="auto"/>
        </w:rPr>
        <w:t>. This was associated with increased reports of illness, disability and chronic disease.</w:t>
      </w:r>
      <w:r w:rsidR="00691584" w:rsidRPr="00162B16">
        <w:rPr>
          <w:color w:val="auto"/>
        </w:rPr>
        <w:t xml:space="preserve"> There are also a number of barriers and facilitators to PA in older adults</w:t>
      </w:r>
      <w:r w:rsidR="003610B8" w:rsidRPr="00162B16">
        <w:rPr>
          <w:color w:val="auto"/>
        </w:rPr>
        <w:t xml:space="preserve"> which differ between those nearing retirement age and </w:t>
      </w:r>
      <w:r w:rsidR="00F635FA" w:rsidRPr="00162B16">
        <w:rPr>
          <w:color w:val="auto"/>
        </w:rPr>
        <w:t>those who have</w:t>
      </w:r>
      <w:r w:rsidR="003610B8" w:rsidRPr="00162B16">
        <w:rPr>
          <w:color w:val="auto"/>
        </w:rPr>
        <w:t xml:space="preserve"> retire</w:t>
      </w:r>
      <w:r w:rsidR="00F635FA" w:rsidRPr="00162B16">
        <w:rPr>
          <w:color w:val="auto"/>
        </w:rPr>
        <w:t>d</w:t>
      </w:r>
      <w:r w:rsidR="003610B8" w:rsidRPr="00162B16">
        <w:rPr>
          <w:color w:val="auto"/>
        </w:rPr>
        <w:t xml:space="preserve"> </w:t>
      </w:r>
      <w:r w:rsidR="003610B8" w:rsidRPr="00162B16">
        <w:rPr>
          <w:color w:val="auto"/>
        </w:rPr>
        <w:fldChar w:fldCharType="begin" w:fldLock="1"/>
      </w:r>
      <w:r w:rsidR="003610B8" w:rsidRPr="00162B16">
        <w:rPr>
          <w:color w:val="auto"/>
        </w:rPr>
        <w:instrText>ADDIN CSL_CITATION {"citationItems":[{"id":"ITEM-1","itemData":{"DOI":"10.1123/japa.2018-0343","ISSN":"1543267X","abstract":"Identifying the difference in the barriers and motivators between middle-aged and older adults could contribute toward the development of age-specific health promotion interventions. The aim of this review was to synthesize the literature on the barriers and motivators for physical activity in middle-aged (50–64 years) and older (65–70 years) adults. This review examined qualitative and quantitative studies using the theoretical domain framework as the guiding theory. The search generated 9,400 results from seven databases, and 55 articles meeting the inclusion criteria were included. The results indicate that the barriers are comparable across the two age groups, with environmental factors and resources being the most commonly identified barriers. In older adults, social influences, reinforcement, and assistance in managing change were the most identified motivators. In middle-aged adults, goal-setting, the belief that an activity will be beneficial, and social influences were identified as the most important motivators. These findings can be used by professionals to encourage engagement with and adherence to physical activity.","author":[{"dropping-particle":"","family":"Spiteri","given":"Karl","non-dropping-particle":"","parse-names":false,"suffix":""},{"dropping-particle":"","family":"Broom","given":"David","non-dropping-particle":"","parse-names":false,"suffix":""},{"dropping-particle":"","family":"Bekhet","given":"Amira Hassan","non-dropping-particle":"","parse-names":false,"suffix":""},{"dropping-particle":"","family":"Caro","given":"John Xerri","non-dropping-particle":"De","parse-names":false,"suffix":""},{"dropping-particle":"","family":"Laventure","given":"Bob","non-dropping-particle":"","parse-names":false,"suffix":""},{"dropping-particle":"","family":"Grafton","given":"Kate","non-dropping-particle":"","parse-names":false,"suffix":""}],"container-title":"Journal of Aging and Physical Activity","id":"ITEM-1","issue":"6","issued":{"date-parts":[["2019"]]},"page":"929-944","title":"Barriers and motivators of physical activity participation in middle-aged and older adults—a systematic review","type":"article-journal","volume":"27"},"uris":["http://www.mendeley.com/documents/?uuid=bad6bdec-f326-433a-8bfc-6bc88fadf46b"]}],"mendeley":{"formattedCitation":"[13]","plainTextFormattedCitation":"[13]"},"properties":{"noteIndex":0},"schema":"https://github.com/citation-style-language/schema/raw/master/csl-citation.json"}</w:instrText>
      </w:r>
      <w:r w:rsidR="003610B8" w:rsidRPr="00162B16">
        <w:rPr>
          <w:color w:val="auto"/>
        </w:rPr>
        <w:fldChar w:fldCharType="separate"/>
      </w:r>
      <w:r w:rsidR="003610B8" w:rsidRPr="00162B16">
        <w:rPr>
          <w:noProof/>
          <w:color w:val="auto"/>
        </w:rPr>
        <w:t>[13]</w:t>
      </w:r>
      <w:r w:rsidR="003610B8" w:rsidRPr="00162B16">
        <w:rPr>
          <w:color w:val="auto"/>
        </w:rPr>
        <w:fldChar w:fldCharType="end"/>
      </w:r>
      <w:r w:rsidR="003610B8" w:rsidRPr="00162B16">
        <w:rPr>
          <w:color w:val="auto"/>
        </w:rPr>
        <w:t>.</w:t>
      </w:r>
      <w:r w:rsidR="00EE1144" w:rsidRPr="00162B16">
        <w:rPr>
          <w:color w:val="auto"/>
        </w:rPr>
        <w:t xml:space="preserve">Those nearing retirement were found to find difficulty in regulating their PA behavior, and were motivated </w:t>
      </w:r>
      <w:r w:rsidR="002C4598" w:rsidRPr="00162B16">
        <w:rPr>
          <w:color w:val="auto"/>
        </w:rPr>
        <w:t>by fitness goals. Individuals in retirement age were motivated by the social aspect of PA and lacked belief in their ability to be physically active.</w:t>
      </w:r>
    </w:p>
    <w:p w14:paraId="575227A8" w14:textId="4B4EEC70" w:rsidR="0051320F" w:rsidRPr="00162B16" w:rsidRDefault="0051320F" w:rsidP="00A83A2E">
      <w:pPr>
        <w:pStyle w:val="MDPI31text"/>
        <w:rPr>
          <w:b/>
          <w:color w:val="auto"/>
        </w:rPr>
      </w:pPr>
      <w:r w:rsidRPr="00162B16">
        <w:rPr>
          <w:color w:val="auto"/>
        </w:rPr>
        <w:t xml:space="preserve">Surveillance data for Malta identified just 28% of older adults aged 65 years or more achieve the recommended level of PA </w:t>
      </w:r>
      <w:r w:rsidR="008F2806" w:rsidRPr="00162B16">
        <w:rPr>
          <w:color w:val="auto"/>
        </w:rPr>
        <w:fldChar w:fldCharType="begin" w:fldLock="1"/>
      </w:r>
      <w:r w:rsidR="003610B8" w:rsidRPr="00162B16">
        <w:rPr>
          <w:color w:val="auto"/>
        </w:rPr>
        <w:instrText>ADDIN CSL_CITATION {"citationItems":[{"id":"ITEM-1","itemData":{"URL":"http://www.euro.who.int/__data/assets/pdf_file/0008/382571/malta-eng.pdf?ua=1","accessed":{"date-parts":[["2019","11","7"]]},"author":[{"dropping-particle":"","family":"WHO","given":"","non-dropping-particle":"","parse-names":false,"suffix":""}],"container-title":"World Health Organisation","id":"ITEM-1","issued":{"date-parts":[["2018"]]},"page":"1-4","title":"Malta physical activity fact sheet 2018","type":"webpage"},"uris":["http://www.mendeley.com/documents/?uuid=537293bd-4d99-4fc9-9135-3f3469742cda"]}],"mendeley":{"formattedCitation":"[14]","plainTextFormattedCitation":"[14]","previouslyFormattedCitation":"[13]"},"properties":{"noteIndex":0},"schema":"https://github.com/citation-style-language/schema/raw/master/csl-citation.json"}</w:instrText>
      </w:r>
      <w:r w:rsidR="008F2806" w:rsidRPr="00162B16">
        <w:rPr>
          <w:color w:val="auto"/>
        </w:rPr>
        <w:fldChar w:fldCharType="separate"/>
      </w:r>
      <w:r w:rsidR="003610B8" w:rsidRPr="00162B16">
        <w:rPr>
          <w:noProof/>
          <w:color w:val="auto"/>
        </w:rPr>
        <w:t>[14]</w:t>
      </w:r>
      <w:r w:rsidR="008F2806" w:rsidRPr="00162B16">
        <w:rPr>
          <w:color w:val="auto"/>
        </w:rPr>
        <w:fldChar w:fldCharType="end"/>
      </w:r>
      <w:r w:rsidRPr="00162B16">
        <w:rPr>
          <w:color w:val="auto"/>
        </w:rPr>
        <w:t xml:space="preserve">. Every five years the Department of Health Information and Research (DHIR) in Malta conducts a Health Interview Survey (HIS), which collates data on employment status, and health determinants together with PA. If employment status is associated with a change in PA behavior it would be expected that PA behavior between those in employment and those retired due to statutory age differs. Studies investigating changes with employment status </w:t>
      </w:r>
      <w:r w:rsidR="008F2806" w:rsidRPr="00162B16">
        <w:rPr>
          <w:color w:val="auto"/>
        </w:rPr>
        <w:fldChar w:fldCharType="begin" w:fldLock="1"/>
      </w:r>
      <w:r w:rsidR="003610B8" w:rsidRPr="00162B16">
        <w:rPr>
          <w:color w:val="auto"/>
        </w:rPr>
        <w:instrText>ADDIN CSL_CITATION {"citationItems":[{"id":"ITEM-1","itemData":{"DOI":"10.1136/jech-2011-200505","ISBN":"1470-2738 (Electronic)\r0143-005X (Linking)","PMID":"22791800","abstract":"BACKGROUND: There are few longitudinal data on physical activity patterns from mid-life into older age. The authors examined associations of self-reported physical activity, adiposity and socio-demographic factors in mid-life with objectively assessed measures of activity in older age. METHODS: Participants were 394 healthy men and women drawn from the Whitehall II population-based cohort study. At the baseline assessment in 1997 (mean age 54 years), physical activity was assessed through self-report and quantified as metabolic equivalent of task hours/week. At the follow-up in 2010 (mean age 66 years), physical activity was objectively measured using accelerometers worn during waking hours for seven consecutive days (average daily wear time 891 +/- 68 min/day). RESULTS: Self-reported physical activity at baseline was associated with objectively assessed activity at follow-up in various activity categories, including light-, moderate- and vigorous-intensity activity (all ps&lt;0.04). Participants in the highest compared with lowest quartile of self-reported activity level at baseline recorded on average 64.1 (95% CI 26.2 to 102.1) counts per minute more accelerometer-assessed activity at follow-up and 9.0 (2.0-16.0) min/day more moderate-to-vigorous daily activity, after adjusting for baseline covariates. Lower education, obesity and self-perceived health status were also related to physical activity at follow-up. Only age and education were associated with objectively measured sedentary time at follow-up. CONCLUSION: Physical activity behaviour in middle age was associated with objectively measured physical activity in later life after 13 years of follow-up, suggesting that the habits in adulthood are partly tracked into older age.","author":[{"dropping-particle":"","family":"Hamer","given":"M","non-dropping-particle":"","parse-names":false,"suffix":""},{"dropping-particle":"","family":"Kivimaki","given":"M","non-dropping-particle":"","parse-names":false,"suffix":""},{"dropping-particle":"","family":"Steptoe","given":"A","non-dropping-particle":"","parse-names":false,"suffix":""}],"container-title":"J Epidemiol Community Health","edition":"2012/07/14","id":"ITEM-1","issue":"12","issued":{"date-parts":[["2012"]]},"language":"Eng","note":"Hamer, Mark\nKivimaki, Mika\nSteptoe, Andrew\nR01HL36310; R01AG013196/AG/NIA NIH HHS/United States\nBritish Heart Foundation/United Kingdom\nMRC_G8802774/Medical Research Council/United Kingdom\nR01 HL036310/HL/NHLBI NIH HHS/United States\nMedical Research Council/United Kingdom\nMRC_G19/35/Medical Research Council/United Kingdom\nR01 AG034454/AG/NIA NIH HHS/United States\nBHF_RG/07/008/23674/British Heart Foundation/United Kingdom\nMRC_G0902037/Medical Research Council/United Kingdom\nBHF_RG/10/005/28296/British Heart Foundation/United Kingdom\nMRC_G0100222/Medical Research Council/United Kingdom\nR01 AG013196/AG/NIA NIH HHS/United States\nResearch Support, N.I.H., Extramural\nResearch Support, Non-U.S. Gov't\nEngland\nJ Epidemiol Community Health. 2012 Dec;66(12):1110-5. doi: 10.1136/jech-2011-200505. Epub 2012 Jul 12.","page":"1110-1115","title":"Longitudinal patterns in physical activity and sedentary behaviour from mid-life to early old age: a substudy of the Whitehall II cohort","type":"article-journal","volume":"66"},"uris":["http://www.mendeley.com/documents/?uuid=5c3cbe23-e21a-47b5-8863-40ae6a982bda"]},{"id":"ITEM-2","itemData":{"DOI":"10.1002/hec.1712","ISBN":"1057-9230","ISSN":"10579230","PMID":"19816948","abstract":"This paper investigates the effects of retirement on various health outcomes. Data stem from the first three waves of the English Longitudinal Study of Ageing (ELSA). With these informative data, non-parametric matching and instrumental variable (IV) methods are applied to identify causal effects. It is found that retirement significantly increases the risk of being diagnosed with a chronic condition. In particular, it raises the risk of a severe cardiovascular disease and cancer. This is also reflected in increased risk factors (e.g. BMI, cholesterol, blood pressure) and increased problems in physical activities. Furthermore, retirement worsens self-assessed health and an underlying health stock. Copyright © 2011 John Wiley &amp; Sons, Ltd.","author":[{"dropping-particle":"","family":"Behncke","given":"Stefanie","non-dropping-particle":"","parse-names":false,"suffix":""}],"container-title":"Health Economics","id":"ITEM-2","issue":"3","issued":{"date-parts":[["2012"]]},"note":"From Duplicate 1 (Does retirement trigger ill health? - Behncke, S)\n\nresearch. Journal Subset: Europe; Health Services Administration; Peer Reviewed; UK &amp;amp; Ireland. NLM UID: 9306780.\nPMID: 21322085.\n\nFrom Duplicate 2 (Does retirement trigger ill health? - Behncke, Stefanie)\n\nFrom Duplicate 2 (Does retirement trigger ill health? - Behncke, Stefanie)\n\nFrom Duplicate 2 (Does retirement trigger ill health? - Behncke, S)\n\nresearch. Journal Subset: Europe; Health Services Administration; Peer Reviewed; UK &amp;amp; Ireland. NLM UID: 9306780.\nPMID: 21322085.","page":"282-300","publisher":"John Wiley &amp; Sons, Inc.","publisher-place":"Hoboken, New Jersey","title":"Does retirement trigger ill health?","type":"article-journal","volume":"21"},"uris":["http://www.mendeley.com/documents/?uuid=00bed81d-3f7f-4f30-bfc5-a07744834047"]},{"id":"ITEM-3","itemData":{"DOI":"http://dx.doi.org/10.1017/S0144686X10000486","ISBN":"0144686X","ISSN":"0144-686X, 0144-686X","PMID":"755489255","abstract":"This paper examines the risk factors that influence physical activity levels among a representative sample of older people in England and their awareness of the Chief Medical Officer's recommended level of physical activity. The paper analyses data from the cross-sectional, nationally-representative Health Surveys for England (HSfE) in 2006 and 2007. In HSfE2006, 1,550 adults aged 60-69 years responded to a physical activity participation questionnaire, and in HSfE2007, 561 adults aged 60-64 years were asked about their knowledge of the physical activity requirement and their attitudes to participation. Very few respondents knew the recommended physical activity target, but more than one-half thought they had enough physical activity in their daily life, and over three-quarters thought they were 'very' or 'fairly' physically active compared with age peers. The perceived barriers to physical activity included work commitments, lack of leisure time and poor health. It was found that obesity, not being in work and having a limiting long-term illness associated with a lower likelihood of physical activity. Participation in sports and exercise, walking, heavy housework and gardening were all lower in non-working than working adults. Older adults had unrealistic views of their activity levels, and of work and lack of time as barriers to physical activity. It is concluded that more attention needs to be paid to health promotion and education among the over-sixties, especially those not in paid work. [PUBLICATION ABSTRACT]","author":[{"dropping-particle":"","family":"Chaudhury","given":"Moushumi","non-dropping-particle":"","parse-names":false,"suffix":""},{"dropping-particle":"","family":"Shelton","given":"Nicola","non-dropping-particle":"","parse-names":false,"suffix":""}],"container-title":"Ageing and Society","id":"ITEM-3","issue":"8","issued":{"date-parts":[["2010","11"]]},"language":"English","note":"From Duplicate 1 (Physical activity among 60-69-year-olds in England: knowledge, perception, behaviour and risk factors - Chaudhury, Moushumi; Shelton, Nicola)\n\nCopyright - Copyright © Cambridge University Press 2010\nDocument feature - References\nLast updated - 2015-08-15\nCODEN - AGSOD9\nSubjectsTermNotLitGenreText - United Kingdom--UK\n\nFrom Duplicate 2 (Physical activity among 60-69-year-olds in England: Knowledge, perception, behaviour and risk factors - Chaudhury, Moushumi; Shelton, Nicola)\n\nCopyright - © 2010, Cambridge University Press\n\nDate completed - 2010-05-17\n\nDate revised - 20110328\n\nNumber of references - 32\n\nLast updated - 2016-11-19\n\nSubjectsTermNotLitGenreText - Aging 237 8698 ; Health Attitudes 3784 733 8698 ; Health Behavior 1548 3785 8698 887 ; Health Knowledge 3805 4628 4632 8698 ; Physical Activity 5403 6430 8698 ; 2334 3571 6952 7586 8032 8250 8698 911 ; 7400","page":"1343-1355","publisher":"Cambridge University Press","publisher-place":"Cambridge","title":"Physical activity among 60-69-year-olds in England: knowledge, perception, behaviour and risk factors","type":"article-journal","volume":"30"},"uris":["http://www.mendeley.com/documents/?uuid=2c37bf69-7995-44b9-81d8-d4f855490af9"]},{"id":"ITEM-4","itemData":{"DOI":"10.1136/bjsports-2013-092993","ISBN":"0306-3674","abstract":"BACKGROUND: Physical activity is associated with improved overall health in those people who survive to older ages, otherwise conceptualised as healthy ageing. Previous studies have examined the effects of mid-life physical activity on healthy ageing, but not the effects of taking up activity later in life. We examined the association between physical activity and healthy ageing over 8 years of follow-up. METHODS: Participants were 3454 initially disease-free men and women (aged 63.7±8.9 years at baseline) from the English Longitudinal Study of Ageing, a prospective study of community dwelling older adults. Self-reported physical activity was assessed at baseline (2002-2003) and through follow-up. Healthy ageing, assessed at 8 years of follow-up (2010-2011), was defined as those participants who survived without developing major chronic disease, depressive symptoms, physical or cognitive impairment. RESULTS: At follow-up, 19.3% of the sample was defined as healthy ageing. In comparison with inactive participants, moderate (OR, 2.67, 95% CI 1.95 to 3.64), or vigorous activity (3.53, 2.54 to 4.89) at least once a week was associated with healthy ageing, after adjustment for age, sex, smoking, alcohol, marital status and wealth. Becoming active (multivariate adjusted, 3.37, 1.67 to 6.78) or remaining active (7.68, 4.18 to 14.09) was associated with healthy ageing in comparison with remaining inactive over follow-up. CONCLUSIONS: Sustained physical activity in older age is associated with improved overall health. Significant health benefits were even seen among participants who became physically active relatively late in life.","author":[{"dropping-particle":"","family":"Hamer","given":"Mark","non-dropping-particle":"","parse-names":false,"suffix":""},{"dropping-particle":"","family":"Lavoie","given":"Kim L","non-dropping-particle":"","parse-names":false,"suffix":""},{"dropping-particle":"","family":"Bacon","given":"Simon L","non-dropping-particle":"","parse-names":false,"suffix":""}],"container-title":"British Journal of Sports Medicine","id":"ITEM-4","issue":"3","issued":{"date-parts":[["2014"]]},"note":"research. Journal Subset: Allied Health; Biomedical; Double Blind Peer Reviewed; Europe; Expert Peer Reviewed; Peer Reviewed; UK &amp;amp; Ireland. Special Interest: Physical Therapy; Sports Medicine. NLM UID: 0432520.\nPMID: 24276781.","page":"239-243","publisher":"BMJ Publishing Group","title":"Taking up physical activity in later life and healthy ageing: the English longitudinal study of ageing","type":"article-journal","volume":"48"},"uris":["http://www.mendeley.com/documents/?uuid=228dd8ba-0d9e-459b-ba99-898a549e4d83"]},{"id":"ITEM-5","itemData":{"DOI":"10.1097/EDE.0b013e3181d61f53.From","author":[{"dropping-particle":"","family":"Jokela","given":"Markus","non-dropping-particle":"","parse-names":false,"suffix":""},{"dropping-particle":"","family":"Head","given":"Jenny","non-dropping-particle":"","parse-names":false,"suffix":""},{"dropping-particle":"","family":"Vahtera","given":"Jussi","non-dropping-particle":"","parse-names":false,"suffix":""},{"dropping-particle":"","family":"Westerlund","given":"Hugo","non-dropping-particle":"","parse-names":false,"suffix":""},{"dropping-particle":"","family":"Marmot","given":"Michael G","non-dropping-particle":"","parse-names":false,"suffix":""}],"container-title":"Epidemiology","id":"ITEM-5","issue":"3","issued":{"date-parts":[["2011"]]},"page":"284-290","title":"From midlife to early old age: Health trajectories associated with retirement","type":"article-journal","volume":"21"},"uris":["http://www.mendeley.com/documents/?uuid=da0326fe-959d-4244-aa78-2550c6122090"]},{"id":"ITEM-6","itemData":{"DOI":"10.1177/0091415016652403","ISSN":"0091-4150","author":[{"dropping-particle":"","family":"Bennett","given":"Misty M.","non-dropping-particle":"","parse-names":false,"suffix":""},{"dropping-particle":"","family":"Beehr","given":"Terry A.","non-dropping-particle":"","parse-names":false,"suffix":""},{"dropping-particle":"","family":"Lepisto","given":"Lawrence R.","non-dropping-particle":"","parse-names":false,"suffix":""}],"container-title":"The International Journal of Aging and Human Development","id":"ITEM-6","issue":"3","issued":{"date-parts":[["2016"]]},"page":"228-255","title":"A Longitudinal Study of Work After Retirement: Examining Predictors of Bridge Employment, Continued Career Employment, and Retirement","type":"article-journal","volume":"83"},"uris":["http://www.mendeley.com/documents/?uuid=a07831b5-dcb4-42b5-9e41-4861cbf300a2"]}],"mendeley":{"formattedCitation":"[15,16,17,18,19,20]","plainTextFormattedCitation":"[15,16,17,18,19,20]","previouslyFormattedCitation":"[14,15,16,17,18,19]"},"properties":{"noteIndex":0},"schema":"https://github.com/citation-style-language/schema/raw/master/csl-citation.json"}</w:instrText>
      </w:r>
      <w:r w:rsidR="008F2806" w:rsidRPr="00162B16">
        <w:rPr>
          <w:color w:val="auto"/>
        </w:rPr>
        <w:fldChar w:fldCharType="separate"/>
      </w:r>
      <w:r w:rsidR="003610B8" w:rsidRPr="00162B16">
        <w:rPr>
          <w:noProof/>
          <w:color w:val="auto"/>
        </w:rPr>
        <w:t>[15,16,17,18,19,20]</w:t>
      </w:r>
      <w:r w:rsidR="008F2806" w:rsidRPr="00162B16">
        <w:rPr>
          <w:color w:val="auto"/>
        </w:rPr>
        <w:fldChar w:fldCharType="end"/>
      </w:r>
      <w:r w:rsidR="008F2806" w:rsidRPr="00162B16">
        <w:rPr>
          <w:color w:val="auto"/>
        </w:rPr>
        <w:t xml:space="preserve"> </w:t>
      </w:r>
      <w:r w:rsidRPr="00162B16">
        <w:rPr>
          <w:color w:val="auto"/>
        </w:rPr>
        <w:t>used longitudinal data which is currently not available in Malta. The aim of this study was to a) use the data from the HIS to obtain information on how PA might have changed over time in older adults around the time of retirement age, and b) assess any differences in PA with the employment status across different time points.</w:t>
      </w:r>
    </w:p>
    <w:p w14:paraId="13872062" w14:textId="39E27DAD" w:rsidR="00937EA2" w:rsidRPr="00162B16" w:rsidRDefault="00C61A87" w:rsidP="00C61A87">
      <w:pPr>
        <w:pStyle w:val="MDPI21heading1"/>
        <w:rPr>
          <w:color w:val="auto"/>
        </w:rPr>
      </w:pPr>
      <w:r w:rsidRPr="00162B16">
        <w:rPr>
          <w:color w:val="auto"/>
          <w:lang w:eastAsia="zh-CN"/>
        </w:rPr>
        <w:t xml:space="preserve">2. </w:t>
      </w:r>
      <w:r w:rsidR="00937EA2" w:rsidRPr="00162B16">
        <w:rPr>
          <w:color w:val="auto"/>
        </w:rPr>
        <w:t>Materials and Methods</w:t>
      </w:r>
    </w:p>
    <w:p w14:paraId="51C5A26D" w14:textId="2DD16E6A" w:rsidR="00455395" w:rsidRPr="00162B16" w:rsidRDefault="00455395" w:rsidP="00C61A87">
      <w:pPr>
        <w:pStyle w:val="MDPI31text"/>
        <w:rPr>
          <w:b/>
          <w:color w:val="auto"/>
        </w:rPr>
      </w:pPr>
      <w:r w:rsidRPr="00162B16">
        <w:rPr>
          <w:color w:val="auto"/>
        </w:rPr>
        <w:t>Applying a repeat cross-sectional study design, data was obtained from the published HIS in Malta for the years 2002, 2008 and 2014. Permission to carry out the study was obtained from the DHIR and ethical clearance from the Sheffield Hallam ethics committee</w:t>
      </w:r>
      <w:r w:rsidR="00691584" w:rsidRPr="00162B16">
        <w:rPr>
          <w:color w:val="auto"/>
        </w:rPr>
        <w:t>, refence number</w:t>
      </w:r>
      <w:r w:rsidRPr="00162B16">
        <w:rPr>
          <w:color w:val="auto"/>
        </w:rPr>
        <w:t xml:space="preserve"> </w:t>
      </w:r>
      <w:r w:rsidR="003610B8" w:rsidRPr="00162B16">
        <w:rPr>
          <w:color w:val="auto"/>
        </w:rPr>
        <w:t>ER5441966</w:t>
      </w:r>
      <w:r w:rsidRPr="00162B16">
        <w:rPr>
          <w:color w:val="auto"/>
        </w:rPr>
        <w:t xml:space="preserve">. </w:t>
      </w:r>
    </w:p>
    <w:p w14:paraId="25F5132E" w14:textId="5685974C" w:rsidR="00455395" w:rsidRPr="00162B16" w:rsidRDefault="00455395" w:rsidP="00C61A87">
      <w:pPr>
        <w:pStyle w:val="MDPI31text"/>
        <w:rPr>
          <w:b/>
          <w:color w:val="auto"/>
        </w:rPr>
      </w:pPr>
      <w:r w:rsidRPr="00162B16">
        <w:rPr>
          <w:color w:val="auto"/>
        </w:rPr>
        <w:t xml:space="preserve">The HIS for each year studied contains data from around 4,000 persons across all age groups representing an adequate random sample of the Maltese population. The estimated population during these years ranged from 405,000 to 420,000 inhabitants. The </w:t>
      </w:r>
      <w:r w:rsidR="00540643" w:rsidRPr="00162B16">
        <w:rPr>
          <w:color w:val="auto"/>
        </w:rPr>
        <w:t xml:space="preserve">total </w:t>
      </w:r>
      <w:r w:rsidRPr="00162B16">
        <w:rPr>
          <w:color w:val="auto"/>
        </w:rPr>
        <w:t>sample size</w:t>
      </w:r>
      <w:r w:rsidR="00540643" w:rsidRPr="00162B16">
        <w:rPr>
          <w:color w:val="auto"/>
        </w:rPr>
        <w:t xml:space="preserve"> (16 years and older) of the HIS, from which the data was extracted</w:t>
      </w:r>
      <w:r w:rsidRPr="00162B16">
        <w:rPr>
          <w:color w:val="auto"/>
        </w:rPr>
        <w:t xml:space="preserve"> </w:t>
      </w:r>
      <w:r w:rsidR="00FE4553" w:rsidRPr="00162B16">
        <w:rPr>
          <w:color w:val="auto"/>
        </w:rPr>
        <w:t>(</w:t>
      </w:r>
      <w:r w:rsidR="00691584" w:rsidRPr="00162B16">
        <w:rPr>
          <w:color w:val="auto"/>
        </w:rPr>
        <w:t xml:space="preserve">n = </w:t>
      </w:r>
      <w:r w:rsidR="00FF5557" w:rsidRPr="00162B16">
        <w:rPr>
          <w:color w:val="auto"/>
        </w:rPr>
        <w:t>5510 in 2002</w:t>
      </w:r>
      <w:r w:rsidR="007F6CE3" w:rsidRPr="00162B16">
        <w:rPr>
          <w:color w:val="auto"/>
        </w:rPr>
        <w:t>;</w:t>
      </w:r>
      <w:r w:rsidR="00FF5557" w:rsidRPr="00162B16">
        <w:rPr>
          <w:color w:val="auto"/>
        </w:rPr>
        <w:t xml:space="preserve"> </w:t>
      </w:r>
      <w:r w:rsidR="00691584" w:rsidRPr="00162B16">
        <w:rPr>
          <w:color w:val="auto"/>
        </w:rPr>
        <w:t xml:space="preserve">n = </w:t>
      </w:r>
      <w:r w:rsidR="00FF5557" w:rsidRPr="00162B16">
        <w:rPr>
          <w:color w:val="auto"/>
        </w:rPr>
        <w:t>5500 in 2008</w:t>
      </w:r>
      <w:r w:rsidR="007F6CE3" w:rsidRPr="00162B16">
        <w:rPr>
          <w:color w:val="auto"/>
        </w:rPr>
        <w:t>;</w:t>
      </w:r>
      <w:r w:rsidR="00FF5557" w:rsidRPr="00162B16">
        <w:rPr>
          <w:color w:val="auto"/>
        </w:rPr>
        <w:t xml:space="preserve"> </w:t>
      </w:r>
      <w:r w:rsidR="00691584" w:rsidRPr="00162B16">
        <w:rPr>
          <w:color w:val="auto"/>
        </w:rPr>
        <w:t xml:space="preserve">n = </w:t>
      </w:r>
      <w:r w:rsidR="007451F6" w:rsidRPr="00162B16">
        <w:rPr>
          <w:color w:val="auto"/>
        </w:rPr>
        <w:t>4086 in 2014</w:t>
      </w:r>
      <w:r w:rsidR="00FE4553" w:rsidRPr="00162B16">
        <w:rPr>
          <w:color w:val="auto"/>
        </w:rPr>
        <w:t>)</w:t>
      </w:r>
      <w:r w:rsidR="00540643" w:rsidRPr="00162B16">
        <w:rPr>
          <w:color w:val="auto"/>
        </w:rPr>
        <w:t>,</w:t>
      </w:r>
      <w:r w:rsidR="00FE4553" w:rsidRPr="00162B16">
        <w:rPr>
          <w:color w:val="auto"/>
        </w:rPr>
        <w:t xml:space="preserve"> </w:t>
      </w:r>
      <w:r w:rsidRPr="00162B16">
        <w:rPr>
          <w:color w:val="auto"/>
        </w:rPr>
        <w:t xml:space="preserve">was based on a stratified sample calculation carried out by the DHIR.  Participants were randomly selected by computerized methods from a population register provided by the National Statistics Office. The selected participants were all individuals aged 15 years and over.  All data collected was anonymous as no personal identifiers were collected. </w:t>
      </w:r>
      <w:r w:rsidR="00FF5557" w:rsidRPr="00162B16">
        <w:rPr>
          <w:color w:val="auto"/>
        </w:rPr>
        <w:t xml:space="preserve">A recruitment letter was sent to </w:t>
      </w:r>
      <w:r w:rsidR="00B70B50" w:rsidRPr="00162B16">
        <w:rPr>
          <w:color w:val="auto"/>
        </w:rPr>
        <w:t xml:space="preserve">potential </w:t>
      </w:r>
      <w:r w:rsidR="00FF5557" w:rsidRPr="00162B16">
        <w:rPr>
          <w:color w:val="auto"/>
        </w:rPr>
        <w:t xml:space="preserve">participants by mail which was followed via phone call. </w:t>
      </w:r>
      <w:r w:rsidR="00B70B50" w:rsidRPr="00162B16">
        <w:rPr>
          <w:color w:val="auto"/>
        </w:rPr>
        <w:t>Those who consented undertook</w:t>
      </w:r>
      <w:r w:rsidR="00FF5557" w:rsidRPr="00162B16">
        <w:rPr>
          <w:color w:val="auto"/>
        </w:rPr>
        <w:t xml:space="preserve"> a structured interview</w:t>
      </w:r>
      <w:r w:rsidR="00784EEA" w:rsidRPr="00162B16">
        <w:rPr>
          <w:color w:val="auto"/>
        </w:rPr>
        <w:t xml:space="preserve"> </w:t>
      </w:r>
      <w:r w:rsidR="00FF5557" w:rsidRPr="00162B16">
        <w:rPr>
          <w:color w:val="auto"/>
        </w:rPr>
        <w:t>at their home.</w:t>
      </w:r>
    </w:p>
    <w:p w14:paraId="45ED8E8C" w14:textId="050D0428" w:rsidR="00455395" w:rsidRPr="00162B16" w:rsidRDefault="00455395" w:rsidP="00C61A87">
      <w:pPr>
        <w:pStyle w:val="MDPI31text"/>
        <w:rPr>
          <w:b/>
          <w:color w:val="auto"/>
        </w:rPr>
      </w:pPr>
      <w:r w:rsidRPr="00162B16">
        <w:rPr>
          <w:color w:val="auto"/>
        </w:rPr>
        <w:t xml:space="preserve">Based on previous research on PA correlates </w:t>
      </w:r>
      <w:r w:rsidR="0031296C" w:rsidRPr="00162B16">
        <w:rPr>
          <w:color w:val="auto"/>
        </w:rPr>
        <w:fldChar w:fldCharType="begin" w:fldLock="1"/>
      </w:r>
      <w:r w:rsidR="003610B8" w:rsidRPr="00162B16">
        <w:rPr>
          <w:color w:val="auto"/>
        </w:rPr>
        <w:instrText>ADDIN CSL_CITATION {"citationItems":[{"id":"ITEM-1","itemData":{"DOI":"10.1016/S0140-6736(12)60735-1","ISSN":"1474-547X","PMID":"22818938","abstract":"Physical inactivity is an important contributor to non-communicable diseases in countries of high income, and increasingly so in those of low and middle income. Understanding why people are physically active or inactive contributes to evidence-based planning of public health interventions, because effective programmes will target factors known to cause inactivity. Research into correlates (factors associated with activity) or determinants (those with a causal relationship) has burgeoned in the past two decades, but has mostly focused on individual-level factors in high-income countries. It has shown that age, sex, health status, self-efficacy, and motivation are associated with physical activity. Ecological models take a broad view of health behaviour causation, with the social and physical environment included as contributors to physical inactivity, particularly those outside the health sector, such as urban planning, transportation systems, and parks and trails. New areas of determinants research have identified genetic factors contributing to the propensity to be physically active, and evolutionary factors and obesity that might predispose to inactivity, and have explored the longitudinal tracking of physical activity throughout life. An understanding of correlates and determinants, especially in countries of low and middle income, could reduce the eff ect of future epidemics of inactivity and contribute to effective global prevention of non-communicable diseases.","author":[{"dropping-particle":"","family":"Bauman","given":"Adrian E","non-dropping-particle":"","parse-names":false,"suffix":""},{"dropping-particle":"","family":"Reis","given":"Rodrigo S","non-dropping-particle":"","parse-names":false,"suffix":""},{"dropping-particle":"","family":"Sallis","given":"James F","non-dropping-particle":"","parse-names":false,"suffix":""},{"dropping-particle":"","family":"Wells","given":"Jonathan C","non-dropping-particle":"","parse-names":false,"suffix":""},{"dropping-particle":"","family":"Loos","given":"Ruth J F","non-dropping-particle":"","parse-names":false,"suffix":""},{"dropping-particle":"","family":"Martin","given":"Brian W","non-dropping-particle":"","parse-names":false,"suffix":""},{"dropping-particle":"","family":"AE","given":"Bauman","non-dropping-particle":"","parse-names":false,"suffix":""},{"dropping-particle":"","family":"RS","given":"Reis","non-dropping-particle":"","parse-names":false,"suffix":""},{"dropping-particle":"","family":"JF","given":"Sallis","non-dropping-particle":"","parse-names":false,"suffix":""},{"dropping-particle":"","family":"JC","given":"Wells","non-dropping-particle":"","parse-names":false,"suffix":""},{"dropping-particle":"","family":"RJ","given":"Loos","non-dropping-particle":"","parse-names":false,"suffix":""},{"dropping-particle":"","family":"BW","given":"Martin","non-dropping-particle":"","parse-names":false,"suffix":""},{"dropping-particle":"","family":"Bauman","given":"Adrian E","non-dropping-particle":"","parse-names":false,"suffix":""},{"dropping-particle":"","family":"Reis","given":"Rodrigo S","non-dropping-particle":"","parse-names":false,"suffix":""},{"dropping-particle":"","family":"Sallis","given":"James F","non-dropping-particle":"","parse-names":false,"suffix":""},{"dropping-particle":"","family":"Wells","given":"Jonathan C","non-dropping-particle":"","parse-names":false,"suffix":""},{"dropping-particle":"","family":"Loos","given":"Ruth J F","non-dropping-particle":"","parse-names":false,"suffix":""},{"dropping-particle":"","family":"Martin","given":"Brian W","non-dropping-particle":"","parse-names":false,"suffix":""},{"dropping-particle":"","family":"Group","given":"Lancet Physical Activity Series Working","non-dropping-particle":"","parse-names":false,"suffix":""}],"container-title":"Lancet (London, England)","editor":[{"dropping-particle":"","family":"Alkandari JR  Bauman AE, Blair SN, Brownson RC, Bull FC, Craig CL, Ekelund U, Goenka S, Guthold R, Hallal PC, Haskell WL, Heath GW, Inoue S, Kahlmeier S, Katzmarzyk PT, Kohl HW 3rd, Lambert EV, Lee IM, Leetongin G, Lobelo F, Loos RJ, Marcus B, Martin BW,","given":"Andersen L B","non-dropping-particle":"","parse-names":false,"suffix":""}],"id":"ITEM-1","issue":"9838","issued":{"date-parts":[["2012","7","21"]]},"note":"From Duplicate 2 (Correlates of physical activity: why are some people physically active and others not? - AE, Bauman; RS, Reis; JF, Sallis; JC, Wells; RJ, Loos; BW, Martin; Bauman, Adrian E; Reis, Rodrigo S; Sallis, James F; Wells, Jonathan C; Loos, Ruth J F; Martin, Brian W)\n\nAccession Number: 108135952. Corporate Author: Lancet Physical Activity Series Working Group. Language: English. Entry Date: 20120817. Revision Date: 20161125. Publication Type: journal article; review. Journal Subset: Biomedical; Editorial Board Reviewed; Europe; Expert Peer Reviewed; Peer Reviewed; UK &amp;amp; Ireland. Grant Information: MC_U106179473//Medical Research Council/United Kingdom. NLM UID: 2985213R.","page":"258-271","publisher":"Lancet","publisher-place":"England","title":"Correlates of physical activity: why are some people physically active and others not?.","type":"article-journal","volume":"380"},"uris":["http://www.mendeley.com/documents/?uuid=0bd12c8c-cb73-4739-9313-ee31fc084197"]}],"mendeley":{"formattedCitation":"[21]","plainTextFormattedCitation":"[21]","previouslyFormattedCitation":"[20]"},"properties":{"noteIndex":0},"schema":"https://github.com/citation-style-language/schema/raw/master/csl-citation.json"}</w:instrText>
      </w:r>
      <w:r w:rsidR="0031296C" w:rsidRPr="00162B16">
        <w:rPr>
          <w:color w:val="auto"/>
        </w:rPr>
        <w:fldChar w:fldCharType="separate"/>
      </w:r>
      <w:r w:rsidR="003610B8" w:rsidRPr="00162B16">
        <w:rPr>
          <w:noProof/>
          <w:color w:val="auto"/>
        </w:rPr>
        <w:t>[21]</w:t>
      </w:r>
      <w:r w:rsidR="0031296C" w:rsidRPr="00162B16">
        <w:rPr>
          <w:color w:val="auto"/>
        </w:rPr>
        <w:fldChar w:fldCharType="end"/>
      </w:r>
      <w:r w:rsidRPr="00162B16">
        <w:rPr>
          <w:color w:val="auto"/>
        </w:rPr>
        <w:t xml:space="preserve"> for the purpose of this study, the variables analyzed were age, gender, employment status, education, body mass index (BMI), marital status, self-rated health, various chronic conditions, activity limitation due to health problems, smoking, and PA. Employment status was measure</w:t>
      </w:r>
      <w:r w:rsidR="00FF5557" w:rsidRPr="00162B16">
        <w:rPr>
          <w:color w:val="auto"/>
        </w:rPr>
        <w:t>d</w:t>
      </w:r>
      <w:r w:rsidRPr="00162B16">
        <w:rPr>
          <w:color w:val="auto"/>
        </w:rPr>
        <w:t xml:space="preserve"> in 6 categories: unemployed, boarded out, retired, gainfully employed, homemaker and other (</w:t>
      </w:r>
      <w:r w:rsidR="00AB7402" w:rsidRPr="00162B16">
        <w:rPr>
          <w:color w:val="auto"/>
        </w:rPr>
        <w:t>Table A1</w:t>
      </w:r>
      <w:r w:rsidRPr="00162B16">
        <w:rPr>
          <w:color w:val="auto"/>
        </w:rPr>
        <w:t xml:space="preserve">). Employment status was based on the person’s self-assessment </w:t>
      </w:r>
      <w:r w:rsidR="0031296C" w:rsidRPr="00162B16">
        <w:rPr>
          <w:color w:val="auto"/>
        </w:rPr>
        <w:fldChar w:fldCharType="begin" w:fldLock="1"/>
      </w:r>
      <w:r w:rsidR="003610B8" w:rsidRPr="00162B16">
        <w:rPr>
          <w:color w:val="auto"/>
        </w:rPr>
        <w:instrText>ADDIN CSL_CITATION {"citationItems":[{"id":"ITEM-1","itemData":{"DOI":"10.1017/S0714980809090047","author":[{"dropping-particle":"","family":"Denton","given":"Frank T","non-dropping-particle":"","parse-names":false,"suffix":""},{"dropping-particle":"","family":"Spencer","given":"Byron G","non-dropping-particle":"","parse-names":false,"suffix":""},{"dropping-particle":"","family":"Denton","given":"Frank T","non-dropping-particle":"","parse-names":false,"suffix":""},{"dropping-particle":"","family":"Spencer","given":"Byron G","non-dropping-particle":"","parse-names":false,"suffix":""}],"container-title":"Canadian Journal on Aging","id":"ITEM-1","issue":"1","issued":{"date-parts":[["2009"]]},"page":"63-76","title":"What Is Retirement ? A Review and Assessment of Alternative Concepts and Measures What Is Retirement ? A Review and Assessment of Alternative Concepts and Measures *","type":"article-journal","volume":"28"},"uris":["http://www.mendeley.com/documents/?uuid=cdee9074-6c53-4ec5-8091-6d47b490d901"]}],"mendeley":{"formattedCitation":"[22]","plainTextFormattedCitation":"[22]","previouslyFormattedCitation":"[21]"},"properties":{"noteIndex":0},"schema":"https://github.com/citation-style-language/schema/raw/master/csl-citation.json"}</w:instrText>
      </w:r>
      <w:r w:rsidR="0031296C" w:rsidRPr="00162B16">
        <w:rPr>
          <w:color w:val="auto"/>
        </w:rPr>
        <w:fldChar w:fldCharType="separate"/>
      </w:r>
      <w:r w:rsidR="003610B8" w:rsidRPr="00162B16">
        <w:rPr>
          <w:noProof/>
          <w:color w:val="auto"/>
        </w:rPr>
        <w:t>[22]</w:t>
      </w:r>
      <w:r w:rsidR="0031296C" w:rsidRPr="00162B16">
        <w:rPr>
          <w:color w:val="auto"/>
        </w:rPr>
        <w:fldChar w:fldCharType="end"/>
      </w:r>
      <w:r w:rsidRPr="00162B16">
        <w:rPr>
          <w:color w:val="auto"/>
        </w:rPr>
        <w:t xml:space="preserve">, no set of criteria were used to categories participants as being retired. Data was collected on three different types of PA intensities (walking, moderate and vigorous intensity), duration per day and per week. Data on sedentary behavior was not available and hence was not analyzed. Questions used are very similar to the International Physical Activity Questionnaire – Short form (IPAQ) </w:t>
      </w:r>
      <w:r w:rsidR="0031296C" w:rsidRPr="00162B16">
        <w:rPr>
          <w:color w:val="auto"/>
        </w:rPr>
        <w:fldChar w:fldCharType="begin" w:fldLock="1"/>
      </w:r>
      <w:r w:rsidR="003610B8" w:rsidRPr="00162B16">
        <w:rPr>
          <w:color w:val="auto"/>
        </w:rPr>
        <w:instrText>ADDIN CSL_CITATION {"citationItems":[{"id":"ITEM-1","itemData":{"URL":"https://sites.google.com/site/theipaq/questionnaire_links","author":[{"dropping-particle":"","family":"IPAQ group","given":"","non-dropping-particle":"","parse-names":false,"suffix":""}],"id":"ITEM-1","issued":{"date-parts":[["2019"]]},"title":"IPAQ","type":"webpage"},"uris":["http://www.mendeley.com/documents/?uuid=5882f80d-9c2b-413a-b50d-4eecc3395ef8"]}],"mendeley":{"formattedCitation":"[23]","plainTextFormattedCitation":"[23]","previouslyFormattedCitation":"[22]"},"properties":{"noteIndex":0},"schema":"https://github.com/citation-style-language/schema/raw/master/csl-citation.json"}</w:instrText>
      </w:r>
      <w:r w:rsidR="0031296C" w:rsidRPr="00162B16">
        <w:rPr>
          <w:color w:val="auto"/>
        </w:rPr>
        <w:fldChar w:fldCharType="separate"/>
      </w:r>
      <w:r w:rsidR="003610B8" w:rsidRPr="00162B16">
        <w:rPr>
          <w:noProof/>
          <w:color w:val="auto"/>
        </w:rPr>
        <w:t>[23]</w:t>
      </w:r>
      <w:r w:rsidR="0031296C" w:rsidRPr="00162B16">
        <w:rPr>
          <w:color w:val="auto"/>
        </w:rPr>
        <w:fldChar w:fldCharType="end"/>
      </w:r>
      <w:r w:rsidRPr="00162B16">
        <w:rPr>
          <w:color w:val="auto"/>
        </w:rPr>
        <w:t xml:space="preserve"> however, the questionnaire psychometric properties in Maltese </w:t>
      </w:r>
      <w:r w:rsidRPr="00162B16">
        <w:rPr>
          <w:color w:val="auto"/>
        </w:rPr>
        <w:lastRenderedPageBreak/>
        <w:t xml:space="preserve">language had not yet been tested </w:t>
      </w:r>
      <w:r w:rsidR="0031296C" w:rsidRPr="00162B16">
        <w:rPr>
          <w:color w:val="auto"/>
        </w:rPr>
        <w:fldChar w:fldCharType="begin" w:fldLock="1"/>
      </w:r>
      <w:r w:rsidR="003610B8" w:rsidRPr="00162B16">
        <w:rPr>
          <w:color w:val="auto"/>
        </w:rPr>
        <w:instrText>ADDIN CSL_CITATION {"citationItems":[{"id":"ITEM-1","itemData":{"DOI":"10.1123/jmpb.2020-0031","ISSN":"2575-6605","abstract":" The International Physical Activity Questionnaire (IPAQ) is a widely used self-reported physical activity (PA) measure developed to allow for international cross-country comparisons. Due to its unavailability, the aim of this study was to translate the IPAQ-long to Maltese and undertake reliability testing. The IPAQ-long English version was translated into Maltese following the IPAQ guidelines, which included backwards translation. Maltese-speaking participants, aged between 18 and 69 years, were recruited through convenience sampling ( n = 170). Participants completed the IPAQ-long twice within an 8- to 48-hr period. PA was calculated in MET minutes per week, and reliability was calculated using the Spearman correlation, intraclass correlation coefficient, concordance correlation coefficient, and Bland–Altman plots. A total of 155 participants completed the questionnaire at two time points. Spearman correlation was .83 (.76–.88) for total PA and .84 (.77–.89) for total sitting time. The intraclass correlation coefficient was .83 (.76–.88) and the concordance correlation coefficient was .75–.87 for total PA. The lowest reliability was for total transport, with a concordance correlation coefficient of .21−.45. Bland–Altman plots highlight that 95% of the differences fell within 2 SD s from the mean. Since the Maltese IPAQ-long has similar reliability to the English version, the authors recommend that health care professionals and PA practitioners use this tool when examining population-level PA among Maltese-speaking individuals. ","author":[{"dropping-particle":"","family":"Spiteri","given":"Karl","non-dropping-particle":"","parse-names":false,"suffix":""},{"dropping-particle":"","family":"Grafton","given":"Kate","non-dropping-particle":"","parse-names":false,"suffix":""},{"dropping-particle":"","family":"Xerri de Caro","given":"John","non-dropping-particle":"","parse-names":false,"suffix":""},{"dropping-particle":"","family":"Broom","given":"David","non-dropping-particle":"","parse-names":false,"suffix":""}],"container-title":"Journal for the Measurement of Physical Behaviour","id":"ITEM-1","issued":{"date-parts":[["2021"]]},"page":"1-8","title":"Translation of the International Physical Activity Questionnaire to Maltese and Reliability Testing","type":"article-journal"},"uris":["http://www.mendeley.com/documents/?uuid=8d69766c-bd40-47af-8f63-0e05eab4664a"]}],"mendeley":{"formattedCitation":"[24]","plainTextFormattedCitation":"[24]","previouslyFormattedCitation":"[23]"},"properties":{"noteIndex":0},"schema":"https://github.com/citation-style-language/schema/raw/master/csl-citation.json"}</w:instrText>
      </w:r>
      <w:r w:rsidR="0031296C" w:rsidRPr="00162B16">
        <w:rPr>
          <w:color w:val="auto"/>
        </w:rPr>
        <w:fldChar w:fldCharType="separate"/>
      </w:r>
      <w:r w:rsidR="003610B8" w:rsidRPr="00162B16">
        <w:rPr>
          <w:noProof/>
          <w:color w:val="auto"/>
        </w:rPr>
        <w:t>[24]</w:t>
      </w:r>
      <w:r w:rsidR="0031296C" w:rsidRPr="00162B16">
        <w:rPr>
          <w:color w:val="auto"/>
        </w:rPr>
        <w:fldChar w:fldCharType="end"/>
      </w:r>
      <w:r w:rsidRPr="00162B16">
        <w:rPr>
          <w:color w:val="auto"/>
        </w:rPr>
        <w:t xml:space="preserve">. For the purposes of this study, data was taken from a stratified sample of the participant population that fell within the ages of 50 and 74 years. The statutory age of retirement in Malta for the years studied was between 61 and 64 years and it was decided to include the 10 years prior and following the retirement age. This age range is </w:t>
      </w:r>
      <w:proofErr w:type="gramStart"/>
      <w:r w:rsidRPr="00162B16">
        <w:rPr>
          <w:color w:val="auto"/>
        </w:rPr>
        <w:t>similar to</w:t>
      </w:r>
      <w:proofErr w:type="gramEnd"/>
      <w:r w:rsidRPr="00162B16">
        <w:rPr>
          <w:color w:val="auto"/>
        </w:rPr>
        <w:t xml:space="preserve"> inclusion criteria adopted by Baxter et al., (2016).</w:t>
      </w:r>
    </w:p>
    <w:p w14:paraId="45826B99" w14:textId="1B25CC1B" w:rsidR="00455395" w:rsidRPr="00162B16" w:rsidRDefault="00C61A87" w:rsidP="00C61A87">
      <w:pPr>
        <w:pStyle w:val="MDPI22heading2"/>
        <w:spacing w:before="240"/>
        <w:rPr>
          <w:b/>
          <w:color w:val="auto"/>
        </w:rPr>
      </w:pPr>
      <w:r w:rsidRPr="00162B16">
        <w:rPr>
          <w:bCs/>
          <w:color w:val="auto"/>
        </w:rPr>
        <w:t>2.1.</w:t>
      </w:r>
      <w:r w:rsidRPr="00162B16">
        <w:rPr>
          <w:b/>
          <w:color w:val="auto"/>
        </w:rPr>
        <w:t xml:space="preserve"> </w:t>
      </w:r>
      <w:r w:rsidR="00455395" w:rsidRPr="00162B16">
        <w:rPr>
          <w:color w:val="auto"/>
        </w:rPr>
        <w:t>Data and Statistical Analysis</w:t>
      </w:r>
    </w:p>
    <w:p w14:paraId="3766A526" w14:textId="1A2499CA" w:rsidR="00455395" w:rsidRPr="00162B16" w:rsidRDefault="00455395" w:rsidP="00C61A87">
      <w:pPr>
        <w:pStyle w:val="MDPI31text"/>
        <w:rPr>
          <w:b/>
          <w:color w:val="auto"/>
        </w:rPr>
      </w:pPr>
      <w:r w:rsidRPr="00162B16">
        <w:rPr>
          <w:color w:val="auto"/>
        </w:rPr>
        <w:t xml:space="preserve">Analysis of the data was carried out in a cross-sectional manner for each surveyed year by examining age as a continuous variable. </w:t>
      </w:r>
      <w:r w:rsidR="002D4FDB" w:rsidRPr="00162B16">
        <w:rPr>
          <w:color w:val="auto"/>
        </w:rPr>
        <w:t xml:space="preserve">Data was </w:t>
      </w:r>
      <w:r w:rsidR="00540643" w:rsidRPr="00162B16">
        <w:rPr>
          <w:color w:val="auto"/>
        </w:rPr>
        <w:t>analyzed</w:t>
      </w:r>
      <w:r w:rsidR="002D4FDB" w:rsidRPr="00162B16">
        <w:rPr>
          <w:color w:val="auto"/>
        </w:rPr>
        <w:t xml:space="preserve"> longitudinally using multilevel analysis with repeated cross-sectional data</w:t>
      </w:r>
      <w:r w:rsidR="002E0607" w:rsidRPr="00162B16">
        <w:rPr>
          <w:color w:val="auto"/>
        </w:rPr>
        <w:t xml:space="preserve"> </w:t>
      </w:r>
      <w:r w:rsidR="002E0607" w:rsidRPr="00162B16">
        <w:rPr>
          <w:color w:val="auto"/>
        </w:rPr>
        <w:fldChar w:fldCharType="begin" w:fldLock="1"/>
      </w:r>
      <w:r w:rsidR="003610B8" w:rsidRPr="00162B16">
        <w:rPr>
          <w:color w:val="auto"/>
        </w:rPr>
        <w:instrText>ADDIN CSL_CITATION {"citationItems":[{"id":"ITEM-1","itemData":{"DOI":"https://doi.org/10.6084/m9.figshare.c. 4885464.","author":[{"dropping-particle":"","family":"Kusano","given":"K.","non-dropping-particle":"","parse-names":false,"suffix":""},{"dropping-particle":"","family":"KemmelmeierM.","given":"","non-dropping-particle":"","parse-names":false,"suffix":""}],"container-title":"R. Soc. open sci","id":"ITEM-1","issue":"191804","issued":{"date-parts":[["2020"]]},"page":"25","title":"Multi-level modelling of time-series cross-sectional data reveals the dynamic interaction between ecological threats and democratic development","type":"article-journal","volume":"7"},"uris":["http://www.mendeley.com/documents/?uuid=644b7514-a40a-4c7e-b5da-5cc85162ebda"]},{"id":"ITEM-2","itemData":{"DOI":"https://doi.org/10.2307/271090","author":[{"dropping-particle":"","family":"DiPrete","given":"T.","non-dropping-particle":"","parse-names":false,"suffix":""},{"dropping-particle":"","family":"Grusky","given":"D.B.","non-dropping-particle":"","parse-names":false,"suffix":""}],"container-title":"Sociological Methodology","id":"ITEM-2","issued":{"date-parts":[["1990"]]},"page":"32","title":"The Multilevel Analysis of Trends with Repeated Cross-Sectional Data","type":"article-journal"},"uris":["http://www.mendeley.com/documents/?uuid=fd8ec792-8c75-4b18-84b9-48a6ba4e30e5"]},{"id":"ITEM-3","itemData":{"DOI":"doi:10.1002/sim.5880.","author":[{"dropping-particle":"","family":"Xanthakis","given":"V.","non-dropping-particle":"","parse-names":false,"suffix":""},{"dropping-particle":"","family":"Sullivan","given":"L.M.","non-dropping-particle":"","parse-names":false,"suffix":""},{"dropping-particle":"","family":"Vasan","given":"R.S.","non-dropping-particle":"","parse-names":false,"suffix":""}],"container-title":"Stat Med.","id":"ITEM-3","issue":"28","issued":{"date-parts":[["2014"]]},"page":"10","title":"Multilevel modeling versus cross-sectional analysis for assessing the longitudinal tracking of cardiovascular risk factors over time","type":"article-journal","volume":"32"},"uris":["http://www.mendeley.com/documents/?uuid=98d9527b-d987-4687-adf7-565f4bdd8ced"]}],"mendeley":{"formattedCitation":"[25,26,27]","plainTextFormattedCitation":"[25,26,27]","previouslyFormattedCitation":"[24,25,26]"},"properties":{"noteIndex":0},"schema":"https://github.com/citation-style-language/schema/raw/master/csl-citation.json"}</w:instrText>
      </w:r>
      <w:r w:rsidR="002E0607" w:rsidRPr="00162B16">
        <w:rPr>
          <w:color w:val="auto"/>
        </w:rPr>
        <w:fldChar w:fldCharType="separate"/>
      </w:r>
      <w:r w:rsidR="003610B8" w:rsidRPr="00162B16">
        <w:rPr>
          <w:noProof/>
          <w:color w:val="auto"/>
        </w:rPr>
        <w:t>[25,26,27]</w:t>
      </w:r>
      <w:r w:rsidR="002E0607" w:rsidRPr="00162B16">
        <w:rPr>
          <w:color w:val="auto"/>
        </w:rPr>
        <w:fldChar w:fldCharType="end"/>
      </w:r>
      <w:r w:rsidR="002D4FDB" w:rsidRPr="00162B16">
        <w:rPr>
          <w:color w:val="auto"/>
        </w:rPr>
        <w:t xml:space="preserve">. </w:t>
      </w:r>
      <w:r w:rsidRPr="00162B16">
        <w:rPr>
          <w:color w:val="auto"/>
        </w:rPr>
        <w:t xml:space="preserve">The categorical variables of work status and education background were merged as the limited number of participants did not allow for statistical analysis. </w:t>
      </w:r>
      <w:r w:rsidR="00784EEA" w:rsidRPr="00162B16">
        <w:rPr>
          <w:color w:val="auto"/>
        </w:rPr>
        <w:t>As the</w:t>
      </w:r>
      <w:r w:rsidR="002D4FDB" w:rsidRPr="00162B16">
        <w:rPr>
          <w:color w:val="auto"/>
        </w:rPr>
        <w:t xml:space="preserve"> survey </w:t>
      </w:r>
      <w:r w:rsidR="00784EEA" w:rsidRPr="00162B16">
        <w:rPr>
          <w:color w:val="auto"/>
        </w:rPr>
        <w:t>progressed</w:t>
      </w:r>
      <w:r w:rsidR="002D4FDB" w:rsidRPr="00162B16">
        <w:rPr>
          <w:color w:val="auto"/>
        </w:rPr>
        <w:t xml:space="preserve"> more detail</w:t>
      </w:r>
      <w:r w:rsidR="00784EEA" w:rsidRPr="00162B16">
        <w:rPr>
          <w:color w:val="auto"/>
        </w:rPr>
        <w:t>ed</w:t>
      </w:r>
      <w:r w:rsidR="002D4FDB" w:rsidRPr="00162B16">
        <w:rPr>
          <w:color w:val="auto"/>
        </w:rPr>
        <w:t xml:space="preserve"> information </w:t>
      </w:r>
      <w:r w:rsidR="00784EEA" w:rsidRPr="00162B16">
        <w:rPr>
          <w:color w:val="auto"/>
        </w:rPr>
        <w:t xml:space="preserve">was gleaned </w:t>
      </w:r>
      <w:r w:rsidR="002D4FDB" w:rsidRPr="00162B16">
        <w:rPr>
          <w:color w:val="auto"/>
        </w:rPr>
        <w:t>on educational level such as Bachelors, post-graduate diploma, masters, and PhD (Table A1). These were grouped together under tertiary education. In the work domain</w:t>
      </w:r>
      <w:r w:rsidR="00784EEA" w:rsidRPr="00162B16">
        <w:rPr>
          <w:color w:val="auto"/>
        </w:rPr>
        <w:t>,</w:t>
      </w:r>
      <w:r w:rsidR="002D4FDB" w:rsidRPr="00162B16">
        <w:rPr>
          <w:color w:val="auto"/>
        </w:rPr>
        <w:t xml:space="preserve"> data in 6 categories were collected: </w:t>
      </w:r>
      <w:r w:rsidR="00784EEA" w:rsidRPr="00162B16">
        <w:rPr>
          <w:color w:val="auto"/>
        </w:rPr>
        <w:t xml:space="preserve">1) </w:t>
      </w:r>
      <w:r w:rsidR="002D4FDB" w:rsidRPr="00162B16">
        <w:rPr>
          <w:color w:val="auto"/>
        </w:rPr>
        <w:t xml:space="preserve">unemployed, </w:t>
      </w:r>
      <w:r w:rsidR="00784EEA" w:rsidRPr="00162B16">
        <w:rPr>
          <w:color w:val="auto"/>
        </w:rPr>
        <w:t xml:space="preserve">2) </w:t>
      </w:r>
      <w:r w:rsidR="002D4FDB" w:rsidRPr="00162B16">
        <w:rPr>
          <w:color w:val="auto"/>
        </w:rPr>
        <w:t xml:space="preserve">other, </w:t>
      </w:r>
      <w:r w:rsidR="00784EEA" w:rsidRPr="00162B16">
        <w:rPr>
          <w:color w:val="auto"/>
        </w:rPr>
        <w:t xml:space="preserve">3) </w:t>
      </w:r>
      <w:r w:rsidR="002D4FDB" w:rsidRPr="00162B16">
        <w:rPr>
          <w:color w:val="auto"/>
        </w:rPr>
        <w:t xml:space="preserve">retired, </w:t>
      </w:r>
      <w:r w:rsidR="00784EEA" w:rsidRPr="00162B16">
        <w:rPr>
          <w:color w:val="auto"/>
        </w:rPr>
        <w:t xml:space="preserve">4) </w:t>
      </w:r>
      <w:r w:rsidR="002D4FDB" w:rsidRPr="00162B16">
        <w:rPr>
          <w:color w:val="auto"/>
        </w:rPr>
        <w:t xml:space="preserve">gainfully employed, </w:t>
      </w:r>
      <w:r w:rsidR="00784EEA" w:rsidRPr="00162B16">
        <w:rPr>
          <w:color w:val="auto"/>
        </w:rPr>
        <w:t xml:space="preserve">5) </w:t>
      </w:r>
      <w:r w:rsidR="002D4FDB" w:rsidRPr="00162B16">
        <w:rPr>
          <w:color w:val="auto"/>
        </w:rPr>
        <w:t>domestic work</w:t>
      </w:r>
      <w:r w:rsidR="00784EEA" w:rsidRPr="00162B16">
        <w:rPr>
          <w:color w:val="auto"/>
        </w:rPr>
        <w:t xml:space="preserve"> 6) </w:t>
      </w:r>
      <w:r w:rsidR="00041A04" w:rsidRPr="00162B16">
        <w:rPr>
          <w:color w:val="auto"/>
        </w:rPr>
        <w:t>boarded out</w:t>
      </w:r>
      <w:r w:rsidR="002D4FDB" w:rsidRPr="00162B16">
        <w:rPr>
          <w:color w:val="auto"/>
        </w:rPr>
        <w:t xml:space="preserve">. The 6 categories were group into 4 groups: </w:t>
      </w:r>
      <w:r w:rsidR="00784EEA" w:rsidRPr="00162B16">
        <w:rPr>
          <w:color w:val="auto"/>
        </w:rPr>
        <w:t xml:space="preserve">1) </w:t>
      </w:r>
      <w:r w:rsidR="002D4FDB" w:rsidRPr="00162B16">
        <w:rPr>
          <w:color w:val="auto"/>
        </w:rPr>
        <w:t xml:space="preserve">employed, </w:t>
      </w:r>
      <w:r w:rsidR="00784EEA" w:rsidRPr="00162B16">
        <w:rPr>
          <w:color w:val="auto"/>
        </w:rPr>
        <w:t xml:space="preserve">2) </w:t>
      </w:r>
      <w:r w:rsidR="002D4FDB" w:rsidRPr="00162B16">
        <w:rPr>
          <w:color w:val="auto"/>
        </w:rPr>
        <w:t xml:space="preserve">retired, </w:t>
      </w:r>
      <w:r w:rsidR="00784EEA" w:rsidRPr="00162B16">
        <w:rPr>
          <w:color w:val="auto"/>
        </w:rPr>
        <w:t xml:space="preserve">3) </w:t>
      </w:r>
      <w:r w:rsidR="002D4FDB" w:rsidRPr="00162B16">
        <w:rPr>
          <w:color w:val="auto"/>
        </w:rPr>
        <w:t xml:space="preserve">domestic and </w:t>
      </w:r>
      <w:r w:rsidR="00784EEA" w:rsidRPr="00162B16">
        <w:rPr>
          <w:color w:val="auto"/>
        </w:rPr>
        <w:t xml:space="preserve">4) </w:t>
      </w:r>
      <w:r w:rsidR="002D4FDB" w:rsidRPr="00162B16">
        <w:rPr>
          <w:color w:val="auto"/>
        </w:rPr>
        <w:t xml:space="preserve">unemployed + other (Table A2). </w:t>
      </w:r>
      <w:r w:rsidRPr="00162B16">
        <w:rPr>
          <w:color w:val="auto"/>
        </w:rPr>
        <w:t xml:space="preserve">Chronic diseases were analyzed by summing the total number of diseases recorded. </w:t>
      </w:r>
    </w:p>
    <w:p w14:paraId="77DA711A" w14:textId="43C78365" w:rsidR="00455395" w:rsidRPr="00162B16" w:rsidRDefault="00455395" w:rsidP="00C61A87">
      <w:pPr>
        <w:pStyle w:val="MDPI31text"/>
        <w:rPr>
          <w:b/>
          <w:color w:val="auto"/>
        </w:rPr>
      </w:pPr>
      <w:r w:rsidRPr="00162B16">
        <w:rPr>
          <w:color w:val="auto"/>
        </w:rPr>
        <w:t xml:space="preserve">Data analysis for PA was carried out in accordance with the IPAQ guidelines since the data collected via the HIS questionnaire was similar </w:t>
      </w:r>
      <w:r w:rsidR="0031296C" w:rsidRPr="00162B16">
        <w:rPr>
          <w:color w:val="auto"/>
        </w:rPr>
        <w:fldChar w:fldCharType="begin" w:fldLock="1"/>
      </w:r>
      <w:r w:rsidR="003610B8" w:rsidRPr="00162B16">
        <w:rPr>
          <w:color w:val="auto"/>
        </w:rPr>
        <w:instrText>ADDIN CSL_CITATION {"citationItems":[{"id":"ITEM-1","itemData":{"URL":"https://sites.google.com/site/theipaq/questionnaire_links","author":[{"dropping-particle":"","family":"IPAQ group","given":"","non-dropping-particle":"","parse-names":false,"suffix":""}],"id":"ITEM-1","issued":{"date-parts":[["2019"]]},"title":"IPAQ","type":"webpage"},"uris":["http://www.mendeley.com/documents/?uuid=5882f80d-9c2b-413a-b50d-4eecc3395ef8"]}],"mendeley":{"formattedCitation":"[23]","plainTextFormattedCitation":"[23]","previouslyFormattedCitation":"[22]"},"properties":{"noteIndex":0},"schema":"https://github.com/citation-style-language/schema/raw/master/csl-citation.json"}</w:instrText>
      </w:r>
      <w:r w:rsidR="0031296C" w:rsidRPr="00162B16">
        <w:rPr>
          <w:color w:val="auto"/>
        </w:rPr>
        <w:fldChar w:fldCharType="separate"/>
      </w:r>
      <w:r w:rsidR="003610B8" w:rsidRPr="00162B16">
        <w:rPr>
          <w:noProof/>
          <w:color w:val="auto"/>
        </w:rPr>
        <w:t>[23]</w:t>
      </w:r>
      <w:r w:rsidR="0031296C" w:rsidRPr="00162B16">
        <w:rPr>
          <w:color w:val="auto"/>
        </w:rPr>
        <w:fldChar w:fldCharType="end"/>
      </w:r>
      <w:r w:rsidR="0031296C" w:rsidRPr="00162B16">
        <w:rPr>
          <w:color w:val="auto"/>
        </w:rPr>
        <w:t xml:space="preserve"> </w:t>
      </w:r>
      <w:r w:rsidR="00F900CE" w:rsidRPr="00162B16">
        <w:rPr>
          <w:color w:val="auto"/>
        </w:rPr>
        <w:fldChar w:fldCharType="begin" w:fldLock="1"/>
      </w:r>
      <w:r w:rsidR="003610B8" w:rsidRPr="00162B16">
        <w:rPr>
          <w:color w:val="auto"/>
        </w:rPr>
        <w:instrText>ADDIN CSL_CITATION {"citationItems":[{"id":"ITEM-1","itemData":{"URL":"https://deputyprimeminister.gov.mt/en/dhir/Pages/surveys.aspx","accessed":{"date-parts":[["2021","8","26"]]},"author":[{"dropping-particle":"","family":"Government of Malta","given":"","non-dropping-particle":"","parse-names":false,"suffix":""}],"id":"ITEM-1","issued":{"date-parts":[["2021"]]},"title":"health.gov.mt","type":"webpage"},"uris":["http://www.mendeley.com/documents/?uuid=df0d3a28-eacd-4f31-af55-59f6afacafd9"]}],"mendeley":{"formattedCitation":"[28]","plainTextFormattedCitation":"[28]","previouslyFormattedCitation":"[27]"},"properties":{"noteIndex":0},"schema":"https://github.com/citation-style-language/schema/raw/master/csl-citation.json"}</w:instrText>
      </w:r>
      <w:r w:rsidR="00F900CE" w:rsidRPr="00162B16">
        <w:rPr>
          <w:color w:val="auto"/>
        </w:rPr>
        <w:fldChar w:fldCharType="separate"/>
      </w:r>
      <w:r w:rsidR="003610B8" w:rsidRPr="00162B16">
        <w:rPr>
          <w:noProof/>
          <w:color w:val="auto"/>
        </w:rPr>
        <w:t>[28]</w:t>
      </w:r>
      <w:r w:rsidR="00F900CE" w:rsidRPr="00162B16">
        <w:rPr>
          <w:color w:val="auto"/>
        </w:rPr>
        <w:fldChar w:fldCharType="end"/>
      </w:r>
      <w:r w:rsidRPr="00162B16">
        <w:rPr>
          <w:color w:val="auto"/>
        </w:rPr>
        <w:t xml:space="preserve">. </w:t>
      </w:r>
      <w:r w:rsidR="003B432E" w:rsidRPr="00162B16">
        <w:rPr>
          <w:color w:val="auto"/>
        </w:rPr>
        <w:t xml:space="preserve">Both questionnaires collect data on PA </w:t>
      </w:r>
      <w:r w:rsidR="00784EEA" w:rsidRPr="00162B16">
        <w:rPr>
          <w:color w:val="auto"/>
        </w:rPr>
        <w:t>behavior including</w:t>
      </w:r>
      <w:r w:rsidR="003B432E" w:rsidRPr="00162B16">
        <w:rPr>
          <w:color w:val="auto"/>
        </w:rPr>
        <w:t xml:space="preserve"> walking</w:t>
      </w:r>
      <w:r w:rsidR="00784EEA" w:rsidRPr="00162B16">
        <w:rPr>
          <w:color w:val="auto"/>
        </w:rPr>
        <w:t xml:space="preserve"> and</w:t>
      </w:r>
      <w:r w:rsidR="00041A04" w:rsidRPr="00162B16">
        <w:rPr>
          <w:color w:val="auto"/>
        </w:rPr>
        <w:t xml:space="preserve"> </w:t>
      </w:r>
      <w:r w:rsidR="003B432E" w:rsidRPr="00162B16">
        <w:rPr>
          <w:color w:val="auto"/>
        </w:rPr>
        <w:t xml:space="preserve">moderate and vigorous intensity </w:t>
      </w:r>
      <w:r w:rsidR="00784EEA" w:rsidRPr="00162B16">
        <w:rPr>
          <w:color w:val="auto"/>
        </w:rPr>
        <w:t xml:space="preserve">PA </w:t>
      </w:r>
      <w:r w:rsidR="003B432E" w:rsidRPr="00162B16">
        <w:rPr>
          <w:color w:val="auto"/>
        </w:rPr>
        <w:t xml:space="preserve">of more than 10 minutes bouts </w:t>
      </w:r>
      <w:r w:rsidR="00784EEA" w:rsidRPr="00162B16">
        <w:rPr>
          <w:color w:val="auto"/>
        </w:rPr>
        <w:t>at a</w:t>
      </w:r>
      <w:r w:rsidR="003B432E" w:rsidRPr="00162B16">
        <w:rPr>
          <w:color w:val="auto"/>
        </w:rPr>
        <w:t xml:space="preserve"> time and </w:t>
      </w:r>
      <w:r w:rsidR="00784EEA" w:rsidRPr="00162B16">
        <w:rPr>
          <w:color w:val="auto"/>
        </w:rPr>
        <w:t>number of</w:t>
      </w:r>
      <w:r w:rsidR="003B432E" w:rsidRPr="00162B16">
        <w:rPr>
          <w:color w:val="auto"/>
        </w:rPr>
        <w:t xml:space="preserve"> days per week. Using the same system as IPAQ </w:t>
      </w:r>
      <w:r w:rsidRPr="00162B16">
        <w:rPr>
          <w:color w:val="auto"/>
        </w:rPr>
        <w:t xml:space="preserve">ensured a standardized approach which allowed for comparison with other studies. Three categories of PA intensity were extracted: walking, moderate and vigorous intensity PA. Data on the different intensities and durations was processed into Metabolic Equivalents (MET) minutes per week as per IPAQ guidelines. When summed up, these three intensities provided the total MET minutes per week score that was suggestive of the overall PA. MET minutes per week of PA categories were determined as low, medium or high based on IPAQ classification </w:t>
      </w:r>
      <w:r w:rsidR="0031296C" w:rsidRPr="00162B16">
        <w:rPr>
          <w:color w:val="auto"/>
        </w:rPr>
        <w:fldChar w:fldCharType="begin" w:fldLock="1"/>
      </w:r>
      <w:r w:rsidR="003610B8" w:rsidRPr="00162B16">
        <w:rPr>
          <w:color w:val="auto"/>
        </w:rPr>
        <w:instrText>ADDIN CSL_CITATION {"citationItems":[{"id":"ITEM-1","itemData":{"URL":"https://sites.google.com/site/theipaq/questionnaire_links","author":[{"dropping-particle":"","family":"IPAQ group","given":"","non-dropping-particle":"","parse-names":false,"suffix":""}],"id":"ITEM-1","issued":{"date-parts":[["2019"]]},"title":"IPAQ","type":"webpage"},"uris":["http://www.mendeley.com/documents/?uuid=5882f80d-9c2b-413a-b50d-4eecc3395ef8"]}],"mendeley":{"formattedCitation":"[23]","plainTextFormattedCitation":"[23]","previouslyFormattedCitation":"[22]"},"properties":{"noteIndex":0},"schema":"https://github.com/citation-style-language/schema/raw/master/csl-citation.json"}</w:instrText>
      </w:r>
      <w:r w:rsidR="0031296C" w:rsidRPr="00162B16">
        <w:rPr>
          <w:color w:val="auto"/>
        </w:rPr>
        <w:fldChar w:fldCharType="separate"/>
      </w:r>
      <w:r w:rsidR="003610B8" w:rsidRPr="00162B16">
        <w:rPr>
          <w:noProof/>
          <w:color w:val="auto"/>
        </w:rPr>
        <w:t>[23]</w:t>
      </w:r>
      <w:r w:rsidR="0031296C" w:rsidRPr="00162B16">
        <w:rPr>
          <w:color w:val="auto"/>
        </w:rPr>
        <w:fldChar w:fldCharType="end"/>
      </w:r>
      <w:r w:rsidRPr="00162B16">
        <w:rPr>
          <w:color w:val="auto"/>
        </w:rPr>
        <w:t>.</w:t>
      </w:r>
    </w:p>
    <w:p w14:paraId="3A256952" w14:textId="58089374" w:rsidR="00D137E3" w:rsidRPr="00162B16" w:rsidRDefault="00455395" w:rsidP="00C61A87">
      <w:pPr>
        <w:pStyle w:val="MDPI31text"/>
        <w:rPr>
          <w:color w:val="auto"/>
        </w:rPr>
      </w:pPr>
      <w:r w:rsidRPr="00162B16">
        <w:rPr>
          <w:color w:val="auto"/>
        </w:rPr>
        <w:t>PA categories were statistically analyzed as categorical variables</w:t>
      </w:r>
      <w:r w:rsidR="00804E68" w:rsidRPr="00162B16">
        <w:rPr>
          <w:color w:val="auto"/>
        </w:rPr>
        <w:t xml:space="preserve"> for within year variation</w:t>
      </w:r>
      <w:r w:rsidRPr="00162B16">
        <w:rPr>
          <w:color w:val="auto"/>
        </w:rPr>
        <w:t>. MET values were assessed for normal distribution using the Kolmogorov-Smirnov test. Data which was not normally distributed was transformed using Log</w:t>
      </w:r>
      <w:r w:rsidR="00D137E3" w:rsidRPr="00162B16">
        <w:rPr>
          <w:color w:val="auto"/>
          <w:vertAlign w:val="subscript"/>
        </w:rPr>
        <w:t>10</w:t>
      </w:r>
      <w:r w:rsidR="00804E68" w:rsidRPr="00162B16">
        <w:rPr>
          <w:color w:val="auto"/>
        </w:rPr>
        <w:t xml:space="preserve"> (</w:t>
      </w:r>
      <w:r w:rsidR="00562B58" w:rsidRPr="00162B16">
        <w:rPr>
          <w:color w:val="auto"/>
        </w:rPr>
        <w:t>x+1</w:t>
      </w:r>
      <w:r w:rsidR="00804E68" w:rsidRPr="00162B16">
        <w:rPr>
          <w:color w:val="auto"/>
        </w:rPr>
        <w:t>)</w:t>
      </w:r>
      <w:r w:rsidRPr="00162B16">
        <w:rPr>
          <w:color w:val="auto"/>
        </w:rPr>
        <w:t xml:space="preserve"> and rechecked for its distribution. When normal distribution was not obtained, non-parametric tests were used to analyses the data. Mean and standard deviation were presented for continuous variables. The Pearson correlation, Chi-square, ANOVA, or their non-parametric equivalents, were used for the analysis between variables. </w:t>
      </w:r>
    </w:p>
    <w:p w14:paraId="2198261C" w14:textId="76E7EABE" w:rsidR="00804E68" w:rsidRPr="00162B16" w:rsidRDefault="00804E68" w:rsidP="00C61A87">
      <w:pPr>
        <w:pStyle w:val="MDPI31text"/>
        <w:rPr>
          <w:color w:val="auto"/>
        </w:rPr>
      </w:pPr>
      <w:r w:rsidRPr="00162B16">
        <w:rPr>
          <w:color w:val="auto"/>
        </w:rPr>
        <w:t xml:space="preserve">Multilevel analysis was used to model PA as a continuous variable. </w:t>
      </w:r>
      <w:r w:rsidR="00D137E3" w:rsidRPr="00162B16">
        <w:rPr>
          <w:color w:val="auto"/>
        </w:rPr>
        <w:t xml:space="preserve">Predictors were included in the model based on theoretical knowledge. </w:t>
      </w:r>
      <w:r w:rsidRPr="00162B16">
        <w:rPr>
          <w:color w:val="auto"/>
        </w:rPr>
        <w:t xml:space="preserve">This analysis was used to consider the data longitudinally. </w:t>
      </w:r>
      <w:r w:rsidR="004A2030" w:rsidRPr="00162B16">
        <w:rPr>
          <w:color w:val="auto"/>
        </w:rPr>
        <w:t xml:space="preserve">Assumptions for </w:t>
      </w:r>
      <w:proofErr w:type="spellStart"/>
      <w:r w:rsidR="004A2030" w:rsidRPr="00162B16">
        <w:rPr>
          <w:color w:val="auto"/>
        </w:rPr>
        <w:t>homoscedasticy</w:t>
      </w:r>
      <w:proofErr w:type="spellEnd"/>
      <w:r w:rsidR="004A2030" w:rsidRPr="00162B16">
        <w:rPr>
          <w:color w:val="auto"/>
        </w:rPr>
        <w:t xml:space="preserve">, and linear relationship between variables were assessed visually using scatter plot diagrams. </w:t>
      </w:r>
      <w:r w:rsidRPr="00162B16">
        <w:rPr>
          <w:color w:val="auto"/>
        </w:rPr>
        <w:t>The tested model is presented in figure 1. Individual attribute</w:t>
      </w:r>
      <w:r w:rsidR="00784EEA" w:rsidRPr="00162B16">
        <w:rPr>
          <w:color w:val="auto"/>
        </w:rPr>
        <w:t>s</w:t>
      </w:r>
      <w:r w:rsidRPr="00162B16">
        <w:rPr>
          <w:color w:val="auto"/>
        </w:rPr>
        <w:t xml:space="preserve"> were considered as level 1 analysis </w:t>
      </w:r>
      <w:r w:rsidR="00B935C2" w:rsidRPr="00162B16">
        <w:rPr>
          <w:color w:val="auto"/>
        </w:rPr>
        <w:t xml:space="preserve">(employment status, BMI, number of chronic diseases, and educational level) </w:t>
      </w:r>
      <w:r w:rsidRPr="00162B16">
        <w:rPr>
          <w:color w:val="auto"/>
        </w:rPr>
        <w:t>and survey years as level 2 analysis</w:t>
      </w:r>
      <w:r w:rsidR="00784EEA" w:rsidRPr="00162B16">
        <w:rPr>
          <w:color w:val="auto"/>
        </w:rPr>
        <w:t>.</w:t>
      </w:r>
      <w:r w:rsidR="00540643" w:rsidRPr="00162B16">
        <w:rPr>
          <w:color w:val="auto"/>
        </w:rPr>
        <w:t xml:space="preserve"> </w:t>
      </w:r>
      <w:r w:rsidRPr="00162B16">
        <w:rPr>
          <w:color w:val="auto"/>
        </w:rPr>
        <w:t xml:space="preserve">PA as </w:t>
      </w:r>
      <w:r w:rsidR="00784EEA" w:rsidRPr="00162B16">
        <w:rPr>
          <w:color w:val="auto"/>
        </w:rPr>
        <w:t xml:space="preserve">a </w:t>
      </w:r>
      <w:r w:rsidRPr="00162B16">
        <w:rPr>
          <w:color w:val="auto"/>
        </w:rPr>
        <w:t>continuous variable was considered the dependent variable</w:t>
      </w:r>
      <w:r w:rsidR="00F900CE" w:rsidRPr="00162B16">
        <w:rPr>
          <w:color w:val="auto"/>
        </w:rPr>
        <w:t xml:space="preserve"> </w:t>
      </w:r>
      <w:r w:rsidR="00F900CE" w:rsidRPr="00162B16">
        <w:rPr>
          <w:color w:val="auto"/>
        </w:rPr>
        <w:fldChar w:fldCharType="begin" w:fldLock="1"/>
      </w:r>
      <w:r w:rsidR="003610B8" w:rsidRPr="00162B16">
        <w:rPr>
          <w:color w:val="auto"/>
        </w:rPr>
        <w:instrText>ADDIN CSL_CITATION {"citationItems":[{"id":"ITEM-1","itemData":{"author":[{"dropping-particle":"","family":"Heck","given":"R. H.","non-dropping-particle":"","parse-names":false,"suffix":""},{"dropping-particle":"","family":"Thomas","given":"S.L.","non-dropping-particle":"","parse-names":false,"suffix":""},{"dropping-particle":"","family":"TabataL.N.","given":"","non-dropping-particle":"","parse-names":false,"suffix":""}],"edition":"2","editor":[{"dropping-particle":"","family":"Marcoulides","given":"G.A.","non-dropping-particle":"","parse-names":false,"suffix":""}],"id":"ITEM-1","issued":{"date-parts":[["2014"]]},"number-of-pages":"462","publisher":"Routledge","publisher-place":"London","title":"Multilevel and Longitudinal Modeling with IBM SPSS","type":"book"},"uris":["http://www.mendeley.com/documents/?uuid=8a63c2a3-264c-4ee7-8858-c81593b283ed"]}],"mendeley":{"formattedCitation":"[29]","plainTextFormattedCitation":"[29]","previouslyFormattedCitation":"[28]"},"properties":{"noteIndex":0},"schema":"https://github.com/citation-style-language/schema/raw/master/csl-citation.json"}</w:instrText>
      </w:r>
      <w:r w:rsidR="00F900CE" w:rsidRPr="00162B16">
        <w:rPr>
          <w:color w:val="auto"/>
        </w:rPr>
        <w:fldChar w:fldCharType="separate"/>
      </w:r>
      <w:r w:rsidR="003610B8" w:rsidRPr="00162B16">
        <w:rPr>
          <w:noProof/>
          <w:color w:val="auto"/>
        </w:rPr>
        <w:t>[29]</w:t>
      </w:r>
      <w:r w:rsidR="00F900CE" w:rsidRPr="00162B16">
        <w:rPr>
          <w:color w:val="auto"/>
        </w:rPr>
        <w:fldChar w:fldCharType="end"/>
      </w:r>
      <w:r w:rsidRPr="00162B16">
        <w:rPr>
          <w:color w:val="auto"/>
        </w:rPr>
        <w:t>.</w:t>
      </w:r>
      <w:r w:rsidR="00B935C2" w:rsidRPr="00162B16">
        <w:rPr>
          <w:color w:val="auto"/>
        </w:rPr>
        <w:t xml:space="preserve"> Within the multilevel analysis only employ</w:t>
      </w:r>
      <w:r w:rsidR="00784EEA" w:rsidRPr="00162B16">
        <w:rPr>
          <w:color w:val="auto"/>
        </w:rPr>
        <w:t>ment</w:t>
      </w:r>
      <w:r w:rsidR="00B935C2" w:rsidRPr="00162B16">
        <w:rPr>
          <w:color w:val="auto"/>
        </w:rPr>
        <w:t xml:space="preserve"> and retire</w:t>
      </w:r>
      <w:r w:rsidR="00784EEA" w:rsidRPr="00162B16">
        <w:rPr>
          <w:color w:val="auto"/>
        </w:rPr>
        <w:t>ment</w:t>
      </w:r>
      <w:r w:rsidR="00B935C2" w:rsidRPr="00162B16">
        <w:rPr>
          <w:color w:val="auto"/>
        </w:rPr>
        <w:t xml:space="preserve"> status were considered.</w:t>
      </w:r>
    </w:p>
    <w:p w14:paraId="2BFFA6A2" w14:textId="662E2134" w:rsidR="00455395" w:rsidRPr="00162B16" w:rsidRDefault="00455395" w:rsidP="00C61A87">
      <w:pPr>
        <w:pStyle w:val="MDPI31text"/>
        <w:rPr>
          <w:color w:val="auto"/>
        </w:rPr>
      </w:pPr>
      <w:r w:rsidRPr="00162B16">
        <w:rPr>
          <w:color w:val="auto"/>
        </w:rPr>
        <w:t>A Microsoft Excel© spreadsheet was developed to store and analyses the data. IBM SPSS© (version 26) was used to complete the inferential statistical analysis. Statistical significance was accepted if P &lt; 0.05.</w:t>
      </w:r>
    </w:p>
    <w:p w14:paraId="12BCAF72" w14:textId="77777777" w:rsidR="00497859" w:rsidRPr="00162B16" w:rsidRDefault="00497859" w:rsidP="00C61A87">
      <w:pPr>
        <w:pStyle w:val="MDPI31text"/>
        <w:rPr>
          <w:b/>
          <w:color w:val="auto"/>
        </w:rPr>
      </w:pPr>
    </w:p>
    <w:p w14:paraId="6B1516D3" w14:textId="043E2810" w:rsidR="00937EA2" w:rsidRPr="00162B16" w:rsidRDefault="00C61A87" w:rsidP="00C61A87">
      <w:pPr>
        <w:pStyle w:val="MDPI21heading1"/>
        <w:rPr>
          <w:color w:val="auto"/>
        </w:rPr>
      </w:pPr>
      <w:r w:rsidRPr="00162B16">
        <w:rPr>
          <w:color w:val="auto"/>
        </w:rPr>
        <w:t xml:space="preserve">3. </w:t>
      </w:r>
      <w:r w:rsidR="00937EA2" w:rsidRPr="00162B16">
        <w:rPr>
          <w:color w:val="auto"/>
        </w:rPr>
        <w:t>Results</w:t>
      </w:r>
    </w:p>
    <w:p w14:paraId="07BBBE01" w14:textId="0E09DE74" w:rsidR="00455395" w:rsidRPr="00162B16" w:rsidRDefault="00455395" w:rsidP="00C61A87">
      <w:pPr>
        <w:pStyle w:val="MDPI31text"/>
        <w:rPr>
          <w:color w:val="auto"/>
        </w:rPr>
      </w:pPr>
      <w:r w:rsidRPr="00162B16">
        <w:rPr>
          <w:color w:val="auto"/>
        </w:rPr>
        <w:t xml:space="preserve">The number of included participants for the three years was 4690. The proportion of males and females was 47% and 53% respectively. A higher proportion of retired individuals was present in 2002. The absence of any chronic disease was reported by 18% of the </w:t>
      </w:r>
      <w:r w:rsidRPr="00162B16">
        <w:rPr>
          <w:color w:val="auto"/>
        </w:rPr>
        <w:lastRenderedPageBreak/>
        <w:t>participants, whilst 10% reported more than five chronic diseases. The level of educational was higher in the 2014 survey. Table 1 provides a descriptive analysis of the variables collected and the significant differences between the survey years.</w:t>
      </w:r>
    </w:p>
    <w:p w14:paraId="7BB68543" w14:textId="610FA15C" w:rsidR="00C61A87" w:rsidRPr="00162B16" w:rsidRDefault="00FA5FF3" w:rsidP="00FA5FF3">
      <w:pPr>
        <w:pStyle w:val="MDPI41tablecaption"/>
        <w:rPr>
          <w:color w:val="auto"/>
        </w:rPr>
      </w:pPr>
      <w:r w:rsidRPr="00162B16">
        <w:rPr>
          <w:b/>
          <w:color w:val="auto"/>
        </w:rPr>
        <w:t xml:space="preserve">Table 1. </w:t>
      </w:r>
      <w:r w:rsidR="00C61A87" w:rsidRPr="00162B16">
        <w:rPr>
          <w:color w:val="auto"/>
        </w:rPr>
        <w:t>Demographics by year of survey</w:t>
      </w:r>
      <w:r w:rsidR="003916FA" w:rsidRPr="00162B16">
        <w:rPr>
          <w:color w:val="auto"/>
        </w:rPr>
        <w:t xml:space="preserve"> for total population</w:t>
      </w:r>
    </w:p>
    <w:tbl>
      <w:tblPr>
        <w:tblStyle w:val="TableGrid"/>
        <w:tblW w:w="104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604"/>
        <w:gridCol w:w="1601"/>
        <w:gridCol w:w="1457"/>
        <w:gridCol w:w="1793"/>
        <w:gridCol w:w="1010"/>
      </w:tblGrid>
      <w:tr w:rsidR="00162B16" w:rsidRPr="00162B16" w14:paraId="401F0507" w14:textId="77777777" w:rsidTr="00C61A87">
        <w:trPr>
          <w:jc w:val="center"/>
        </w:trPr>
        <w:tc>
          <w:tcPr>
            <w:tcW w:w="3997" w:type="dxa"/>
            <w:tcBorders>
              <w:top w:val="single" w:sz="8" w:space="0" w:color="auto"/>
              <w:left w:val="nil"/>
              <w:bottom w:val="single" w:sz="4" w:space="0" w:color="auto"/>
              <w:right w:val="nil"/>
            </w:tcBorders>
            <w:shd w:val="clear" w:color="auto" w:fill="auto"/>
            <w:vAlign w:val="center"/>
            <w:hideMark/>
          </w:tcPr>
          <w:p w14:paraId="78A66B5B" w14:textId="77777777" w:rsidR="00343B0B" w:rsidRPr="00162B16" w:rsidRDefault="00343B0B" w:rsidP="00C61A87">
            <w:pPr>
              <w:autoSpaceDE w:val="0"/>
              <w:autoSpaceDN w:val="0"/>
              <w:adjustRightInd w:val="0"/>
              <w:snapToGrid w:val="0"/>
              <w:spacing w:line="240" w:lineRule="auto"/>
              <w:jc w:val="center"/>
              <w:rPr>
                <w:b/>
                <w:noProof w:val="0"/>
                <w:color w:val="auto"/>
              </w:rPr>
            </w:pPr>
            <w:r w:rsidRPr="00162B16">
              <w:rPr>
                <w:b/>
                <w:noProof w:val="0"/>
                <w:color w:val="auto"/>
              </w:rPr>
              <w:t>Demographic per survey year</w:t>
            </w:r>
          </w:p>
        </w:tc>
        <w:tc>
          <w:tcPr>
            <w:tcW w:w="1390" w:type="dxa"/>
            <w:tcBorders>
              <w:top w:val="single" w:sz="8" w:space="0" w:color="auto"/>
              <w:left w:val="nil"/>
              <w:bottom w:val="single" w:sz="4" w:space="0" w:color="auto"/>
              <w:right w:val="nil"/>
            </w:tcBorders>
            <w:shd w:val="clear" w:color="auto" w:fill="auto"/>
            <w:vAlign w:val="center"/>
            <w:hideMark/>
          </w:tcPr>
          <w:p w14:paraId="2371832A" w14:textId="77777777" w:rsidR="00343B0B" w:rsidRPr="00162B16" w:rsidRDefault="00343B0B" w:rsidP="00C61A87">
            <w:pPr>
              <w:autoSpaceDE w:val="0"/>
              <w:autoSpaceDN w:val="0"/>
              <w:adjustRightInd w:val="0"/>
              <w:snapToGrid w:val="0"/>
              <w:spacing w:line="240" w:lineRule="auto"/>
              <w:jc w:val="center"/>
              <w:rPr>
                <w:b/>
                <w:noProof w:val="0"/>
                <w:color w:val="auto"/>
              </w:rPr>
            </w:pPr>
            <w:r w:rsidRPr="00162B16">
              <w:rPr>
                <w:b/>
                <w:noProof w:val="0"/>
                <w:color w:val="auto"/>
              </w:rPr>
              <w:t>2002 n (%)</w:t>
            </w:r>
          </w:p>
        </w:tc>
        <w:tc>
          <w:tcPr>
            <w:tcW w:w="1265" w:type="dxa"/>
            <w:tcBorders>
              <w:top w:val="single" w:sz="8" w:space="0" w:color="auto"/>
              <w:left w:val="nil"/>
              <w:bottom w:val="single" w:sz="4" w:space="0" w:color="auto"/>
              <w:right w:val="nil"/>
            </w:tcBorders>
            <w:shd w:val="clear" w:color="auto" w:fill="auto"/>
            <w:vAlign w:val="center"/>
            <w:hideMark/>
          </w:tcPr>
          <w:p w14:paraId="54C19489" w14:textId="77777777" w:rsidR="00343B0B" w:rsidRPr="00162B16" w:rsidRDefault="00343B0B" w:rsidP="00C61A87">
            <w:pPr>
              <w:autoSpaceDE w:val="0"/>
              <w:autoSpaceDN w:val="0"/>
              <w:adjustRightInd w:val="0"/>
              <w:snapToGrid w:val="0"/>
              <w:spacing w:line="240" w:lineRule="auto"/>
              <w:jc w:val="center"/>
              <w:rPr>
                <w:b/>
                <w:noProof w:val="0"/>
                <w:color w:val="auto"/>
              </w:rPr>
            </w:pPr>
            <w:r w:rsidRPr="00162B16">
              <w:rPr>
                <w:b/>
                <w:noProof w:val="0"/>
                <w:color w:val="auto"/>
              </w:rPr>
              <w:t>2008 (%)</w:t>
            </w:r>
          </w:p>
        </w:tc>
        <w:tc>
          <w:tcPr>
            <w:tcW w:w="1557" w:type="dxa"/>
            <w:tcBorders>
              <w:top w:val="single" w:sz="8" w:space="0" w:color="auto"/>
              <w:left w:val="nil"/>
              <w:bottom w:val="single" w:sz="4" w:space="0" w:color="auto"/>
              <w:right w:val="nil"/>
            </w:tcBorders>
            <w:shd w:val="clear" w:color="auto" w:fill="auto"/>
            <w:vAlign w:val="center"/>
            <w:hideMark/>
          </w:tcPr>
          <w:p w14:paraId="216C210A" w14:textId="77777777" w:rsidR="00343B0B" w:rsidRPr="00162B16" w:rsidRDefault="00343B0B" w:rsidP="00C61A87">
            <w:pPr>
              <w:autoSpaceDE w:val="0"/>
              <w:autoSpaceDN w:val="0"/>
              <w:adjustRightInd w:val="0"/>
              <w:snapToGrid w:val="0"/>
              <w:spacing w:line="240" w:lineRule="auto"/>
              <w:jc w:val="center"/>
              <w:rPr>
                <w:b/>
                <w:noProof w:val="0"/>
                <w:color w:val="auto"/>
              </w:rPr>
            </w:pPr>
            <w:r w:rsidRPr="00162B16">
              <w:rPr>
                <w:b/>
                <w:noProof w:val="0"/>
                <w:color w:val="auto"/>
              </w:rPr>
              <w:t>2014 (%)</w:t>
            </w:r>
          </w:p>
        </w:tc>
        <w:tc>
          <w:tcPr>
            <w:tcW w:w="877" w:type="dxa"/>
            <w:tcBorders>
              <w:top w:val="single" w:sz="8" w:space="0" w:color="auto"/>
              <w:left w:val="nil"/>
              <w:bottom w:val="single" w:sz="4" w:space="0" w:color="auto"/>
              <w:right w:val="nil"/>
            </w:tcBorders>
            <w:shd w:val="clear" w:color="auto" w:fill="auto"/>
            <w:vAlign w:val="center"/>
            <w:hideMark/>
          </w:tcPr>
          <w:p w14:paraId="4C3C4B3B" w14:textId="77777777" w:rsidR="00343B0B" w:rsidRPr="00162B16" w:rsidRDefault="00343B0B" w:rsidP="00C61A87">
            <w:pPr>
              <w:autoSpaceDE w:val="0"/>
              <w:autoSpaceDN w:val="0"/>
              <w:adjustRightInd w:val="0"/>
              <w:snapToGrid w:val="0"/>
              <w:spacing w:line="240" w:lineRule="auto"/>
              <w:jc w:val="center"/>
              <w:rPr>
                <w:b/>
                <w:noProof w:val="0"/>
                <w:color w:val="auto"/>
              </w:rPr>
            </w:pPr>
            <w:r w:rsidRPr="00162B16">
              <w:rPr>
                <w:b/>
                <w:noProof w:val="0"/>
                <w:color w:val="auto"/>
              </w:rPr>
              <w:t>P value</w:t>
            </w:r>
          </w:p>
        </w:tc>
      </w:tr>
      <w:tr w:rsidR="00162B16" w:rsidRPr="00162B16" w14:paraId="208566EC" w14:textId="77777777" w:rsidTr="00C61A87">
        <w:trPr>
          <w:jc w:val="center"/>
        </w:trPr>
        <w:tc>
          <w:tcPr>
            <w:tcW w:w="3997" w:type="dxa"/>
            <w:tcBorders>
              <w:top w:val="single" w:sz="4" w:space="0" w:color="auto"/>
              <w:left w:val="nil"/>
              <w:bottom w:val="nil"/>
              <w:right w:val="nil"/>
            </w:tcBorders>
            <w:shd w:val="clear" w:color="auto" w:fill="auto"/>
            <w:vAlign w:val="center"/>
            <w:hideMark/>
          </w:tcPr>
          <w:p w14:paraId="0110BB48"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Sex</w:t>
            </w:r>
          </w:p>
        </w:tc>
        <w:tc>
          <w:tcPr>
            <w:tcW w:w="1390" w:type="dxa"/>
            <w:tcBorders>
              <w:top w:val="single" w:sz="4" w:space="0" w:color="auto"/>
              <w:left w:val="nil"/>
              <w:bottom w:val="nil"/>
              <w:right w:val="nil"/>
            </w:tcBorders>
            <w:shd w:val="clear" w:color="auto" w:fill="auto"/>
            <w:vAlign w:val="center"/>
          </w:tcPr>
          <w:p w14:paraId="79ED758C"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265" w:type="dxa"/>
            <w:tcBorders>
              <w:top w:val="single" w:sz="4" w:space="0" w:color="auto"/>
              <w:left w:val="nil"/>
              <w:bottom w:val="nil"/>
              <w:right w:val="nil"/>
            </w:tcBorders>
            <w:shd w:val="clear" w:color="auto" w:fill="auto"/>
            <w:vAlign w:val="center"/>
          </w:tcPr>
          <w:p w14:paraId="25C36523"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557" w:type="dxa"/>
            <w:tcBorders>
              <w:top w:val="single" w:sz="4" w:space="0" w:color="auto"/>
              <w:left w:val="nil"/>
              <w:bottom w:val="nil"/>
              <w:right w:val="nil"/>
            </w:tcBorders>
            <w:shd w:val="clear" w:color="auto" w:fill="auto"/>
            <w:vAlign w:val="center"/>
          </w:tcPr>
          <w:p w14:paraId="540BB6AC"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877" w:type="dxa"/>
            <w:tcBorders>
              <w:top w:val="single" w:sz="4" w:space="0" w:color="auto"/>
              <w:left w:val="nil"/>
              <w:bottom w:val="nil"/>
              <w:right w:val="nil"/>
            </w:tcBorders>
            <w:shd w:val="clear" w:color="auto" w:fill="auto"/>
            <w:vAlign w:val="center"/>
          </w:tcPr>
          <w:p w14:paraId="606BBED9" w14:textId="77777777" w:rsidR="00343B0B" w:rsidRPr="00162B16" w:rsidRDefault="00343B0B" w:rsidP="00C61A87">
            <w:pPr>
              <w:autoSpaceDE w:val="0"/>
              <w:autoSpaceDN w:val="0"/>
              <w:adjustRightInd w:val="0"/>
              <w:snapToGrid w:val="0"/>
              <w:spacing w:line="240" w:lineRule="auto"/>
              <w:jc w:val="center"/>
              <w:rPr>
                <w:noProof w:val="0"/>
                <w:color w:val="auto"/>
              </w:rPr>
            </w:pPr>
          </w:p>
        </w:tc>
      </w:tr>
      <w:tr w:rsidR="00162B16" w:rsidRPr="00162B16" w14:paraId="047021AE" w14:textId="77777777" w:rsidTr="00C61A87">
        <w:trPr>
          <w:jc w:val="center"/>
        </w:trPr>
        <w:tc>
          <w:tcPr>
            <w:tcW w:w="3997" w:type="dxa"/>
            <w:shd w:val="clear" w:color="auto" w:fill="auto"/>
            <w:vAlign w:val="center"/>
            <w:hideMark/>
          </w:tcPr>
          <w:p w14:paraId="38CA2847"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Male</w:t>
            </w:r>
          </w:p>
        </w:tc>
        <w:tc>
          <w:tcPr>
            <w:tcW w:w="1390" w:type="dxa"/>
            <w:shd w:val="clear" w:color="auto" w:fill="auto"/>
            <w:vAlign w:val="center"/>
            <w:hideMark/>
          </w:tcPr>
          <w:p w14:paraId="3E77FCA4"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682 (46.2)</w:t>
            </w:r>
          </w:p>
        </w:tc>
        <w:tc>
          <w:tcPr>
            <w:tcW w:w="1265" w:type="dxa"/>
            <w:shd w:val="clear" w:color="auto" w:fill="auto"/>
            <w:vAlign w:val="center"/>
            <w:hideMark/>
          </w:tcPr>
          <w:p w14:paraId="1C23F90C"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654 (46.9)</w:t>
            </w:r>
          </w:p>
        </w:tc>
        <w:tc>
          <w:tcPr>
            <w:tcW w:w="1557" w:type="dxa"/>
            <w:shd w:val="clear" w:color="auto" w:fill="auto"/>
            <w:vAlign w:val="center"/>
            <w:hideMark/>
          </w:tcPr>
          <w:p w14:paraId="2B15F031"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859 (47.5)</w:t>
            </w:r>
          </w:p>
        </w:tc>
        <w:tc>
          <w:tcPr>
            <w:tcW w:w="877" w:type="dxa"/>
            <w:shd w:val="clear" w:color="auto" w:fill="auto"/>
            <w:vAlign w:val="center"/>
            <w:hideMark/>
          </w:tcPr>
          <w:p w14:paraId="03AC4F70"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0.76</w:t>
            </w:r>
          </w:p>
        </w:tc>
      </w:tr>
      <w:tr w:rsidR="00162B16" w:rsidRPr="00162B16" w14:paraId="2F54A78C" w14:textId="77777777" w:rsidTr="00C61A87">
        <w:trPr>
          <w:jc w:val="center"/>
        </w:trPr>
        <w:tc>
          <w:tcPr>
            <w:tcW w:w="3997" w:type="dxa"/>
            <w:shd w:val="clear" w:color="auto" w:fill="auto"/>
            <w:vAlign w:val="center"/>
            <w:hideMark/>
          </w:tcPr>
          <w:p w14:paraId="5CC8C735"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Female</w:t>
            </w:r>
          </w:p>
        </w:tc>
        <w:tc>
          <w:tcPr>
            <w:tcW w:w="1390" w:type="dxa"/>
            <w:shd w:val="clear" w:color="auto" w:fill="auto"/>
            <w:vAlign w:val="center"/>
            <w:hideMark/>
          </w:tcPr>
          <w:p w14:paraId="1D8F2289"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795 (53.8)</w:t>
            </w:r>
          </w:p>
        </w:tc>
        <w:tc>
          <w:tcPr>
            <w:tcW w:w="1265" w:type="dxa"/>
            <w:shd w:val="clear" w:color="auto" w:fill="auto"/>
            <w:vAlign w:val="center"/>
            <w:hideMark/>
          </w:tcPr>
          <w:p w14:paraId="172C92ED"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741 (53.1)</w:t>
            </w:r>
          </w:p>
        </w:tc>
        <w:tc>
          <w:tcPr>
            <w:tcW w:w="1557" w:type="dxa"/>
            <w:shd w:val="clear" w:color="auto" w:fill="auto"/>
            <w:vAlign w:val="center"/>
            <w:hideMark/>
          </w:tcPr>
          <w:p w14:paraId="240D4792"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951 (52.5)</w:t>
            </w:r>
          </w:p>
        </w:tc>
        <w:tc>
          <w:tcPr>
            <w:tcW w:w="877" w:type="dxa"/>
            <w:shd w:val="clear" w:color="auto" w:fill="auto"/>
            <w:vAlign w:val="center"/>
          </w:tcPr>
          <w:p w14:paraId="2C7F6BBB" w14:textId="77777777" w:rsidR="00343B0B" w:rsidRPr="00162B16" w:rsidRDefault="00343B0B" w:rsidP="00C61A87">
            <w:pPr>
              <w:autoSpaceDE w:val="0"/>
              <w:autoSpaceDN w:val="0"/>
              <w:adjustRightInd w:val="0"/>
              <w:snapToGrid w:val="0"/>
              <w:spacing w:line="240" w:lineRule="auto"/>
              <w:jc w:val="center"/>
              <w:rPr>
                <w:noProof w:val="0"/>
                <w:color w:val="auto"/>
              </w:rPr>
            </w:pPr>
          </w:p>
        </w:tc>
      </w:tr>
      <w:tr w:rsidR="00162B16" w:rsidRPr="00162B16" w14:paraId="7FDAB991" w14:textId="77777777" w:rsidTr="00C61A87">
        <w:trPr>
          <w:jc w:val="center"/>
        </w:trPr>
        <w:tc>
          <w:tcPr>
            <w:tcW w:w="3997" w:type="dxa"/>
            <w:shd w:val="clear" w:color="auto" w:fill="auto"/>
            <w:vAlign w:val="center"/>
          </w:tcPr>
          <w:p w14:paraId="5DAC6BB1"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390" w:type="dxa"/>
            <w:shd w:val="clear" w:color="auto" w:fill="auto"/>
            <w:vAlign w:val="center"/>
          </w:tcPr>
          <w:p w14:paraId="3AAC4A3B"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265" w:type="dxa"/>
            <w:shd w:val="clear" w:color="auto" w:fill="auto"/>
            <w:vAlign w:val="center"/>
          </w:tcPr>
          <w:p w14:paraId="7EA8869B"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557" w:type="dxa"/>
            <w:shd w:val="clear" w:color="auto" w:fill="auto"/>
            <w:vAlign w:val="center"/>
          </w:tcPr>
          <w:p w14:paraId="2240EBF6"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877" w:type="dxa"/>
            <w:shd w:val="clear" w:color="auto" w:fill="auto"/>
            <w:vAlign w:val="center"/>
          </w:tcPr>
          <w:p w14:paraId="2FA8F564" w14:textId="77777777" w:rsidR="00343B0B" w:rsidRPr="00162B16" w:rsidRDefault="00343B0B" w:rsidP="00C61A87">
            <w:pPr>
              <w:autoSpaceDE w:val="0"/>
              <w:autoSpaceDN w:val="0"/>
              <w:adjustRightInd w:val="0"/>
              <w:snapToGrid w:val="0"/>
              <w:spacing w:line="240" w:lineRule="auto"/>
              <w:jc w:val="center"/>
              <w:rPr>
                <w:noProof w:val="0"/>
                <w:color w:val="auto"/>
              </w:rPr>
            </w:pPr>
          </w:p>
        </w:tc>
      </w:tr>
      <w:tr w:rsidR="00162B16" w:rsidRPr="00162B16" w14:paraId="256ACE1A" w14:textId="77777777" w:rsidTr="00C61A87">
        <w:trPr>
          <w:jc w:val="center"/>
        </w:trPr>
        <w:tc>
          <w:tcPr>
            <w:tcW w:w="3997" w:type="dxa"/>
            <w:shd w:val="clear" w:color="auto" w:fill="auto"/>
            <w:vAlign w:val="center"/>
            <w:hideMark/>
          </w:tcPr>
          <w:p w14:paraId="050DF161"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Employment status </w:t>
            </w:r>
          </w:p>
        </w:tc>
        <w:tc>
          <w:tcPr>
            <w:tcW w:w="1390" w:type="dxa"/>
            <w:shd w:val="clear" w:color="auto" w:fill="auto"/>
            <w:vAlign w:val="center"/>
          </w:tcPr>
          <w:p w14:paraId="02F1D9E7"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265" w:type="dxa"/>
            <w:shd w:val="clear" w:color="auto" w:fill="auto"/>
            <w:vAlign w:val="center"/>
          </w:tcPr>
          <w:p w14:paraId="13412739"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557" w:type="dxa"/>
            <w:shd w:val="clear" w:color="auto" w:fill="auto"/>
            <w:vAlign w:val="center"/>
          </w:tcPr>
          <w:p w14:paraId="458A60F1"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877" w:type="dxa"/>
            <w:shd w:val="clear" w:color="auto" w:fill="auto"/>
            <w:vAlign w:val="center"/>
          </w:tcPr>
          <w:p w14:paraId="68B5E6F9" w14:textId="77777777" w:rsidR="00343B0B" w:rsidRPr="00162B16" w:rsidRDefault="00343B0B" w:rsidP="00C61A87">
            <w:pPr>
              <w:autoSpaceDE w:val="0"/>
              <w:autoSpaceDN w:val="0"/>
              <w:adjustRightInd w:val="0"/>
              <w:snapToGrid w:val="0"/>
              <w:spacing w:line="240" w:lineRule="auto"/>
              <w:jc w:val="center"/>
              <w:rPr>
                <w:noProof w:val="0"/>
                <w:color w:val="auto"/>
              </w:rPr>
            </w:pPr>
          </w:p>
        </w:tc>
      </w:tr>
      <w:tr w:rsidR="00162B16" w:rsidRPr="00162B16" w14:paraId="410F34B1" w14:textId="77777777" w:rsidTr="00C61A87">
        <w:trPr>
          <w:jc w:val="center"/>
        </w:trPr>
        <w:tc>
          <w:tcPr>
            <w:tcW w:w="3997" w:type="dxa"/>
            <w:shd w:val="clear" w:color="auto" w:fill="auto"/>
            <w:vAlign w:val="center"/>
            <w:hideMark/>
          </w:tcPr>
          <w:p w14:paraId="0D7187A7"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Employed</w:t>
            </w:r>
          </w:p>
        </w:tc>
        <w:tc>
          <w:tcPr>
            <w:tcW w:w="1390" w:type="dxa"/>
            <w:shd w:val="clear" w:color="auto" w:fill="auto"/>
            <w:vAlign w:val="center"/>
            <w:hideMark/>
          </w:tcPr>
          <w:p w14:paraId="576DBABA"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414 (28)</w:t>
            </w:r>
            <w:r w:rsidRPr="00162B16">
              <w:rPr>
                <w:noProof w:val="0"/>
                <w:color w:val="auto"/>
                <w:vertAlign w:val="superscript"/>
              </w:rPr>
              <w:t>a</w:t>
            </w:r>
          </w:p>
        </w:tc>
        <w:tc>
          <w:tcPr>
            <w:tcW w:w="1265" w:type="dxa"/>
            <w:shd w:val="clear" w:color="auto" w:fill="auto"/>
            <w:vAlign w:val="center"/>
            <w:hideMark/>
          </w:tcPr>
          <w:p w14:paraId="27A16017" w14:textId="77777777" w:rsidR="00343B0B" w:rsidRPr="00162B16" w:rsidRDefault="00343B0B" w:rsidP="00C61A87">
            <w:pPr>
              <w:autoSpaceDE w:val="0"/>
              <w:autoSpaceDN w:val="0"/>
              <w:adjustRightInd w:val="0"/>
              <w:snapToGrid w:val="0"/>
              <w:spacing w:line="240" w:lineRule="auto"/>
              <w:jc w:val="center"/>
              <w:rPr>
                <w:rFonts w:cstheme="minorBidi"/>
                <w:noProof w:val="0"/>
                <w:color w:val="auto"/>
              </w:rPr>
            </w:pPr>
            <w:r w:rsidRPr="00162B16">
              <w:rPr>
                <w:noProof w:val="0"/>
                <w:color w:val="auto"/>
              </w:rPr>
              <w:t>421 (30.1)</w:t>
            </w:r>
            <w:r w:rsidRPr="00162B16">
              <w:rPr>
                <w:noProof w:val="0"/>
                <w:color w:val="auto"/>
                <w:vertAlign w:val="superscript"/>
              </w:rPr>
              <w:t xml:space="preserve"> a</w:t>
            </w:r>
          </w:p>
        </w:tc>
        <w:tc>
          <w:tcPr>
            <w:tcW w:w="1557" w:type="dxa"/>
            <w:shd w:val="clear" w:color="auto" w:fill="auto"/>
            <w:vAlign w:val="center"/>
            <w:hideMark/>
          </w:tcPr>
          <w:p w14:paraId="74F0291F"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538 (29.7)</w:t>
            </w:r>
            <w:r w:rsidRPr="00162B16">
              <w:rPr>
                <w:noProof w:val="0"/>
                <w:color w:val="auto"/>
                <w:vertAlign w:val="superscript"/>
              </w:rPr>
              <w:t xml:space="preserve"> a</w:t>
            </w:r>
          </w:p>
        </w:tc>
        <w:tc>
          <w:tcPr>
            <w:tcW w:w="877" w:type="dxa"/>
            <w:vMerge w:val="restart"/>
            <w:shd w:val="clear" w:color="auto" w:fill="auto"/>
            <w:vAlign w:val="center"/>
            <w:hideMark/>
          </w:tcPr>
          <w:p w14:paraId="3C667124"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&lt;0.001*</w:t>
            </w:r>
          </w:p>
        </w:tc>
      </w:tr>
      <w:tr w:rsidR="00162B16" w:rsidRPr="00162B16" w14:paraId="21430285" w14:textId="77777777" w:rsidTr="00C61A87">
        <w:trPr>
          <w:jc w:val="center"/>
        </w:trPr>
        <w:tc>
          <w:tcPr>
            <w:tcW w:w="3997" w:type="dxa"/>
            <w:shd w:val="clear" w:color="auto" w:fill="auto"/>
            <w:vAlign w:val="center"/>
            <w:hideMark/>
          </w:tcPr>
          <w:p w14:paraId="7F653021"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Retired</w:t>
            </w:r>
          </w:p>
        </w:tc>
        <w:tc>
          <w:tcPr>
            <w:tcW w:w="1390" w:type="dxa"/>
            <w:shd w:val="clear" w:color="auto" w:fill="auto"/>
            <w:vAlign w:val="center"/>
            <w:hideMark/>
          </w:tcPr>
          <w:p w14:paraId="67F46D47"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498 (33.6) </w:t>
            </w:r>
            <w:r w:rsidRPr="00162B16">
              <w:rPr>
                <w:noProof w:val="0"/>
                <w:color w:val="auto"/>
                <w:vertAlign w:val="superscript"/>
              </w:rPr>
              <w:t>a</w:t>
            </w:r>
          </w:p>
        </w:tc>
        <w:tc>
          <w:tcPr>
            <w:tcW w:w="1265" w:type="dxa"/>
            <w:shd w:val="clear" w:color="auto" w:fill="auto"/>
            <w:vAlign w:val="center"/>
            <w:hideMark/>
          </w:tcPr>
          <w:p w14:paraId="27113069"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369 (26.4)</w:t>
            </w:r>
            <w:r w:rsidRPr="00162B16">
              <w:rPr>
                <w:noProof w:val="0"/>
                <w:color w:val="auto"/>
                <w:vertAlign w:val="superscript"/>
              </w:rPr>
              <w:t xml:space="preserve"> b</w:t>
            </w:r>
          </w:p>
        </w:tc>
        <w:tc>
          <w:tcPr>
            <w:tcW w:w="1557" w:type="dxa"/>
            <w:shd w:val="clear" w:color="auto" w:fill="auto"/>
            <w:vAlign w:val="center"/>
            <w:hideMark/>
          </w:tcPr>
          <w:p w14:paraId="597AEA09"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544 (30.1)</w:t>
            </w:r>
            <w:r w:rsidRPr="00162B16">
              <w:rPr>
                <w:noProof w:val="0"/>
                <w:color w:val="auto"/>
                <w:vertAlign w:val="superscript"/>
              </w:rPr>
              <w:t xml:space="preserve"> a, b</w:t>
            </w:r>
          </w:p>
        </w:tc>
        <w:tc>
          <w:tcPr>
            <w:tcW w:w="877" w:type="dxa"/>
            <w:vMerge/>
            <w:shd w:val="clear" w:color="auto" w:fill="auto"/>
            <w:vAlign w:val="center"/>
            <w:hideMark/>
          </w:tcPr>
          <w:p w14:paraId="5B713675" w14:textId="77777777" w:rsidR="00343B0B" w:rsidRPr="00162B16" w:rsidRDefault="00343B0B" w:rsidP="00C61A87">
            <w:pPr>
              <w:autoSpaceDE w:val="0"/>
              <w:autoSpaceDN w:val="0"/>
              <w:adjustRightInd w:val="0"/>
              <w:snapToGrid w:val="0"/>
              <w:spacing w:line="240" w:lineRule="auto"/>
              <w:jc w:val="center"/>
              <w:rPr>
                <w:noProof w:val="0"/>
                <w:color w:val="auto"/>
                <w:lang w:eastAsia="en-US"/>
              </w:rPr>
            </w:pPr>
          </w:p>
        </w:tc>
      </w:tr>
      <w:tr w:rsidR="00162B16" w:rsidRPr="00162B16" w14:paraId="1AB75565" w14:textId="77777777" w:rsidTr="00C61A87">
        <w:trPr>
          <w:jc w:val="center"/>
        </w:trPr>
        <w:tc>
          <w:tcPr>
            <w:tcW w:w="3997" w:type="dxa"/>
            <w:shd w:val="clear" w:color="auto" w:fill="auto"/>
            <w:vAlign w:val="center"/>
            <w:hideMark/>
          </w:tcPr>
          <w:p w14:paraId="22C45DE4"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Other</w:t>
            </w:r>
          </w:p>
        </w:tc>
        <w:tc>
          <w:tcPr>
            <w:tcW w:w="1390" w:type="dxa"/>
            <w:shd w:val="clear" w:color="auto" w:fill="auto"/>
            <w:vAlign w:val="center"/>
            <w:hideMark/>
          </w:tcPr>
          <w:p w14:paraId="6252C8CC"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100 (6.8)</w:t>
            </w:r>
            <w:r w:rsidRPr="00162B16">
              <w:rPr>
                <w:noProof w:val="0"/>
                <w:color w:val="auto"/>
                <w:vertAlign w:val="superscript"/>
              </w:rPr>
              <w:t xml:space="preserve"> b</w:t>
            </w:r>
          </w:p>
        </w:tc>
        <w:tc>
          <w:tcPr>
            <w:tcW w:w="1265" w:type="dxa"/>
            <w:shd w:val="clear" w:color="auto" w:fill="auto"/>
            <w:vAlign w:val="center"/>
            <w:hideMark/>
          </w:tcPr>
          <w:p w14:paraId="1CEE1334"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83 (5.9) </w:t>
            </w:r>
            <w:r w:rsidRPr="00162B16">
              <w:rPr>
                <w:noProof w:val="0"/>
                <w:color w:val="auto"/>
                <w:vertAlign w:val="superscript"/>
              </w:rPr>
              <w:t>a, b</w:t>
            </w:r>
          </w:p>
        </w:tc>
        <w:tc>
          <w:tcPr>
            <w:tcW w:w="1557" w:type="dxa"/>
            <w:shd w:val="clear" w:color="auto" w:fill="auto"/>
            <w:vAlign w:val="center"/>
            <w:hideMark/>
          </w:tcPr>
          <w:p w14:paraId="7463643D"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81 (4.5)</w:t>
            </w:r>
            <w:r w:rsidRPr="00162B16">
              <w:rPr>
                <w:noProof w:val="0"/>
                <w:color w:val="auto"/>
                <w:vertAlign w:val="superscript"/>
              </w:rPr>
              <w:t xml:space="preserve"> b</w:t>
            </w:r>
          </w:p>
        </w:tc>
        <w:tc>
          <w:tcPr>
            <w:tcW w:w="877" w:type="dxa"/>
            <w:vMerge/>
            <w:shd w:val="clear" w:color="auto" w:fill="auto"/>
            <w:vAlign w:val="center"/>
            <w:hideMark/>
          </w:tcPr>
          <w:p w14:paraId="24097AC3" w14:textId="77777777" w:rsidR="00343B0B" w:rsidRPr="00162B16" w:rsidRDefault="00343B0B" w:rsidP="00C61A87">
            <w:pPr>
              <w:autoSpaceDE w:val="0"/>
              <w:autoSpaceDN w:val="0"/>
              <w:adjustRightInd w:val="0"/>
              <w:snapToGrid w:val="0"/>
              <w:spacing w:line="240" w:lineRule="auto"/>
              <w:jc w:val="center"/>
              <w:rPr>
                <w:noProof w:val="0"/>
                <w:color w:val="auto"/>
                <w:lang w:eastAsia="en-US"/>
              </w:rPr>
            </w:pPr>
          </w:p>
        </w:tc>
      </w:tr>
      <w:tr w:rsidR="00162B16" w:rsidRPr="00162B16" w14:paraId="2B661DBB" w14:textId="77777777" w:rsidTr="00C61A87">
        <w:trPr>
          <w:jc w:val="center"/>
        </w:trPr>
        <w:tc>
          <w:tcPr>
            <w:tcW w:w="3997" w:type="dxa"/>
            <w:shd w:val="clear" w:color="auto" w:fill="auto"/>
            <w:vAlign w:val="center"/>
            <w:hideMark/>
          </w:tcPr>
          <w:p w14:paraId="0653D345"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Domestic</w:t>
            </w:r>
          </w:p>
        </w:tc>
        <w:tc>
          <w:tcPr>
            <w:tcW w:w="1390" w:type="dxa"/>
            <w:shd w:val="clear" w:color="auto" w:fill="auto"/>
            <w:vAlign w:val="center"/>
            <w:hideMark/>
          </w:tcPr>
          <w:p w14:paraId="58DCADCB"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462 (31.2)</w:t>
            </w:r>
            <w:r w:rsidRPr="00162B16">
              <w:rPr>
                <w:noProof w:val="0"/>
                <w:color w:val="auto"/>
                <w:vertAlign w:val="superscript"/>
              </w:rPr>
              <w:t xml:space="preserve"> a</w:t>
            </w:r>
          </w:p>
        </w:tc>
        <w:tc>
          <w:tcPr>
            <w:tcW w:w="1265" w:type="dxa"/>
            <w:shd w:val="clear" w:color="auto" w:fill="auto"/>
            <w:vAlign w:val="center"/>
            <w:hideMark/>
          </w:tcPr>
          <w:p w14:paraId="250439A3"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489 (34.9)</w:t>
            </w:r>
            <w:r w:rsidRPr="00162B16">
              <w:rPr>
                <w:noProof w:val="0"/>
                <w:color w:val="auto"/>
                <w:vertAlign w:val="superscript"/>
              </w:rPr>
              <w:t xml:space="preserve"> b</w:t>
            </w:r>
          </w:p>
        </w:tc>
        <w:tc>
          <w:tcPr>
            <w:tcW w:w="1557" w:type="dxa"/>
            <w:shd w:val="clear" w:color="auto" w:fill="auto"/>
            <w:vAlign w:val="center"/>
            <w:hideMark/>
          </w:tcPr>
          <w:p w14:paraId="2E23E37B"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646 (35.7)</w:t>
            </w:r>
            <w:r w:rsidRPr="00162B16">
              <w:rPr>
                <w:noProof w:val="0"/>
                <w:color w:val="auto"/>
                <w:vertAlign w:val="superscript"/>
              </w:rPr>
              <w:t xml:space="preserve"> b</w:t>
            </w:r>
          </w:p>
        </w:tc>
        <w:tc>
          <w:tcPr>
            <w:tcW w:w="877" w:type="dxa"/>
            <w:vMerge/>
            <w:shd w:val="clear" w:color="auto" w:fill="auto"/>
            <w:vAlign w:val="center"/>
            <w:hideMark/>
          </w:tcPr>
          <w:p w14:paraId="31DAA12E" w14:textId="77777777" w:rsidR="00343B0B" w:rsidRPr="00162B16" w:rsidRDefault="00343B0B" w:rsidP="00C61A87">
            <w:pPr>
              <w:autoSpaceDE w:val="0"/>
              <w:autoSpaceDN w:val="0"/>
              <w:adjustRightInd w:val="0"/>
              <w:snapToGrid w:val="0"/>
              <w:spacing w:line="240" w:lineRule="auto"/>
              <w:jc w:val="center"/>
              <w:rPr>
                <w:noProof w:val="0"/>
                <w:color w:val="auto"/>
                <w:lang w:eastAsia="en-US"/>
              </w:rPr>
            </w:pPr>
          </w:p>
        </w:tc>
      </w:tr>
      <w:tr w:rsidR="00162B16" w:rsidRPr="00162B16" w14:paraId="6B2FAB8A" w14:textId="77777777" w:rsidTr="00C61A87">
        <w:trPr>
          <w:jc w:val="center"/>
        </w:trPr>
        <w:tc>
          <w:tcPr>
            <w:tcW w:w="3997" w:type="dxa"/>
            <w:shd w:val="clear" w:color="auto" w:fill="auto"/>
            <w:vAlign w:val="center"/>
          </w:tcPr>
          <w:p w14:paraId="078F555F"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390" w:type="dxa"/>
            <w:shd w:val="clear" w:color="auto" w:fill="auto"/>
            <w:vAlign w:val="center"/>
          </w:tcPr>
          <w:p w14:paraId="20CAC719" w14:textId="77777777" w:rsidR="00343B0B" w:rsidRPr="00162B16" w:rsidRDefault="00343B0B" w:rsidP="00C61A87">
            <w:pPr>
              <w:autoSpaceDE w:val="0"/>
              <w:autoSpaceDN w:val="0"/>
              <w:adjustRightInd w:val="0"/>
              <w:snapToGrid w:val="0"/>
              <w:spacing w:line="240" w:lineRule="auto"/>
              <w:jc w:val="center"/>
              <w:rPr>
                <w:rFonts w:cstheme="minorBidi"/>
                <w:noProof w:val="0"/>
                <w:color w:val="auto"/>
              </w:rPr>
            </w:pPr>
          </w:p>
        </w:tc>
        <w:tc>
          <w:tcPr>
            <w:tcW w:w="1265" w:type="dxa"/>
            <w:shd w:val="clear" w:color="auto" w:fill="auto"/>
            <w:vAlign w:val="center"/>
          </w:tcPr>
          <w:p w14:paraId="1E44DCA8"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557" w:type="dxa"/>
            <w:shd w:val="clear" w:color="auto" w:fill="auto"/>
            <w:vAlign w:val="center"/>
          </w:tcPr>
          <w:p w14:paraId="52D1D2F3"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877" w:type="dxa"/>
            <w:shd w:val="clear" w:color="auto" w:fill="auto"/>
            <w:vAlign w:val="center"/>
          </w:tcPr>
          <w:p w14:paraId="56969DC6" w14:textId="77777777" w:rsidR="00343B0B" w:rsidRPr="00162B16" w:rsidRDefault="00343B0B" w:rsidP="00C61A87">
            <w:pPr>
              <w:autoSpaceDE w:val="0"/>
              <w:autoSpaceDN w:val="0"/>
              <w:adjustRightInd w:val="0"/>
              <w:snapToGrid w:val="0"/>
              <w:spacing w:line="240" w:lineRule="auto"/>
              <w:jc w:val="center"/>
              <w:rPr>
                <w:noProof w:val="0"/>
                <w:color w:val="auto"/>
              </w:rPr>
            </w:pPr>
          </w:p>
        </w:tc>
      </w:tr>
      <w:tr w:rsidR="00162B16" w:rsidRPr="00162B16" w14:paraId="1C35D368" w14:textId="77777777" w:rsidTr="00C61A87">
        <w:trPr>
          <w:jc w:val="center"/>
        </w:trPr>
        <w:tc>
          <w:tcPr>
            <w:tcW w:w="3997" w:type="dxa"/>
            <w:shd w:val="clear" w:color="auto" w:fill="auto"/>
            <w:vAlign w:val="center"/>
            <w:hideMark/>
          </w:tcPr>
          <w:p w14:paraId="1ED4BB94"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Marital status</w:t>
            </w:r>
          </w:p>
        </w:tc>
        <w:tc>
          <w:tcPr>
            <w:tcW w:w="1390" w:type="dxa"/>
            <w:shd w:val="clear" w:color="auto" w:fill="auto"/>
            <w:vAlign w:val="center"/>
          </w:tcPr>
          <w:p w14:paraId="622CECB6"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265" w:type="dxa"/>
            <w:shd w:val="clear" w:color="auto" w:fill="auto"/>
            <w:vAlign w:val="center"/>
          </w:tcPr>
          <w:p w14:paraId="7081FB0C"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557" w:type="dxa"/>
            <w:shd w:val="clear" w:color="auto" w:fill="auto"/>
            <w:vAlign w:val="center"/>
          </w:tcPr>
          <w:p w14:paraId="45890201"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877" w:type="dxa"/>
            <w:shd w:val="clear" w:color="auto" w:fill="auto"/>
            <w:vAlign w:val="center"/>
          </w:tcPr>
          <w:p w14:paraId="341EC9F0" w14:textId="77777777" w:rsidR="00343B0B" w:rsidRPr="00162B16" w:rsidRDefault="00343B0B" w:rsidP="00C61A87">
            <w:pPr>
              <w:autoSpaceDE w:val="0"/>
              <w:autoSpaceDN w:val="0"/>
              <w:adjustRightInd w:val="0"/>
              <w:snapToGrid w:val="0"/>
              <w:spacing w:line="240" w:lineRule="auto"/>
              <w:jc w:val="center"/>
              <w:rPr>
                <w:noProof w:val="0"/>
                <w:color w:val="auto"/>
              </w:rPr>
            </w:pPr>
          </w:p>
        </w:tc>
      </w:tr>
      <w:tr w:rsidR="00162B16" w:rsidRPr="00162B16" w14:paraId="0B0DC36B" w14:textId="77777777" w:rsidTr="00C61A87">
        <w:trPr>
          <w:jc w:val="center"/>
        </w:trPr>
        <w:tc>
          <w:tcPr>
            <w:tcW w:w="3997" w:type="dxa"/>
            <w:shd w:val="clear" w:color="auto" w:fill="auto"/>
            <w:vAlign w:val="center"/>
            <w:hideMark/>
          </w:tcPr>
          <w:p w14:paraId="57FC00BD"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Single</w:t>
            </w:r>
          </w:p>
        </w:tc>
        <w:tc>
          <w:tcPr>
            <w:tcW w:w="1390" w:type="dxa"/>
            <w:shd w:val="clear" w:color="auto" w:fill="auto"/>
            <w:vAlign w:val="center"/>
            <w:hideMark/>
          </w:tcPr>
          <w:p w14:paraId="79B54932"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174(11.9)</w:t>
            </w:r>
            <w:r w:rsidRPr="00162B16">
              <w:rPr>
                <w:noProof w:val="0"/>
                <w:color w:val="auto"/>
                <w:vertAlign w:val="superscript"/>
              </w:rPr>
              <w:t xml:space="preserve"> a</w:t>
            </w:r>
          </w:p>
        </w:tc>
        <w:tc>
          <w:tcPr>
            <w:tcW w:w="1265" w:type="dxa"/>
            <w:shd w:val="clear" w:color="auto" w:fill="auto"/>
            <w:vAlign w:val="center"/>
            <w:hideMark/>
          </w:tcPr>
          <w:p w14:paraId="3AC5EAA4"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192 (13.7)</w:t>
            </w:r>
            <w:r w:rsidRPr="00162B16">
              <w:rPr>
                <w:noProof w:val="0"/>
                <w:color w:val="auto"/>
                <w:vertAlign w:val="superscript"/>
              </w:rPr>
              <w:t xml:space="preserve"> a</w:t>
            </w:r>
          </w:p>
        </w:tc>
        <w:tc>
          <w:tcPr>
            <w:tcW w:w="1557" w:type="dxa"/>
            <w:shd w:val="clear" w:color="auto" w:fill="auto"/>
            <w:vAlign w:val="center"/>
            <w:hideMark/>
          </w:tcPr>
          <w:p w14:paraId="55C76992" w14:textId="77777777" w:rsidR="00343B0B" w:rsidRPr="00162B16" w:rsidRDefault="00343B0B" w:rsidP="00C61A87">
            <w:pPr>
              <w:autoSpaceDE w:val="0"/>
              <w:autoSpaceDN w:val="0"/>
              <w:adjustRightInd w:val="0"/>
              <w:snapToGrid w:val="0"/>
              <w:spacing w:line="240" w:lineRule="auto"/>
              <w:jc w:val="center"/>
              <w:rPr>
                <w:b/>
                <w:bCs/>
                <w:noProof w:val="0"/>
                <w:color w:val="auto"/>
              </w:rPr>
            </w:pPr>
            <w:r w:rsidRPr="00162B16">
              <w:rPr>
                <w:noProof w:val="0"/>
                <w:color w:val="auto"/>
              </w:rPr>
              <w:t>243 (13.4)</w:t>
            </w:r>
            <w:r w:rsidRPr="00162B16">
              <w:rPr>
                <w:noProof w:val="0"/>
                <w:color w:val="auto"/>
                <w:vertAlign w:val="superscript"/>
              </w:rPr>
              <w:t xml:space="preserve"> a</w:t>
            </w:r>
          </w:p>
        </w:tc>
        <w:tc>
          <w:tcPr>
            <w:tcW w:w="877" w:type="dxa"/>
            <w:vMerge w:val="restart"/>
            <w:shd w:val="clear" w:color="auto" w:fill="auto"/>
            <w:vAlign w:val="center"/>
            <w:hideMark/>
          </w:tcPr>
          <w:p w14:paraId="5E29F7A1"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&lt;0.001*</w:t>
            </w:r>
          </w:p>
        </w:tc>
      </w:tr>
      <w:tr w:rsidR="00162B16" w:rsidRPr="00162B16" w14:paraId="6B5F1A7C" w14:textId="77777777" w:rsidTr="00C61A87">
        <w:trPr>
          <w:jc w:val="center"/>
        </w:trPr>
        <w:tc>
          <w:tcPr>
            <w:tcW w:w="3997" w:type="dxa"/>
            <w:shd w:val="clear" w:color="auto" w:fill="auto"/>
            <w:vAlign w:val="center"/>
            <w:hideMark/>
          </w:tcPr>
          <w:p w14:paraId="2A0E90E0"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Married</w:t>
            </w:r>
          </w:p>
        </w:tc>
        <w:tc>
          <w:tcPr>
            <w:tcW w:w="1390" w:type="dxa"/>
            <w:shd w:val="clear" w:color="auto" w:fill="auto"/>
            <w:vAlign w:val="center"/>
            <w:hideMark/>
          </w:tcPr>
          <w:p w14:paraId="0BD8B346"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1125 (76.7) </w:t>
            </w:r>
            <w:r w:rsidRPr="00162B16">
              <w:rPr>
                <w:noProof w:val="0"/>
                <w:color w:val="auto"/>
                <w:vertAlign w:val="superscript"/>
              </w:rPr>
              <w:t>a</w:t>
            </w:r>
            <w:r w:rsidRPr="00162B16">
              <w:rPr>
                <w:noProof w:val="0"/>
                <w:color w:val="auto"/>
              </w:rPr>
              <w:t xml:space="preserve"> </w:t>
            </w:r>
          </w:p>
        </w:tc>
        <w:tc>
          <w:tcPr>
            <w:tcW w:w="1265" w:type="dxa"/>
            <w:shd w:val="clear" w:color="auto" w:fill="auto"/>
            <w:vAlign w:val="center"/>
            <w:hideMark/>
          </w:tcPr>
          <w:p w14:paraId="13624C5D"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1048 (75)</w:t>
            </w:r>
            <w:r w:rsidRPr="00162B16">
              <w:rPr>
                <w:noProof w:val="0"/>
                <w:color w:val="auto"/>
                <w:vertAlign w:val="superscript"/>
              </w:rPr>
              <w:t xml:space="preserve"> a</w:t>
            </w:r>
          </w:p>
        </w:tc>
        <w:tc>
          <w:tcPr>
            <w:tcW w:w="1557" w:type="dxa"/>
            <w:shd w:val="clear" w:color="auto" w:fill="auto"/>
            <w:vAlign w:val="center"/>
            <w:hideMark/>
          </w:tcPr>
          <w:p w14:paraId="3D184DA6"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1263 (69.8)</w:t>
            </w:r>
            <w:r w:rsidRPr="00162B16">
              <w:rPr>
                <w:noProof w:val="0"/>
                <w:color w:val="auto"/>
                <w:vertAlign w:val="superscript"/>
              </w:rPr>
              <w:t xml:space="preserve"> b</w:t>
            </w:r>
          </w:p>
        </w:tc>
        <w:tc>
          <w:tcPr>
            <w:tcW w:w="877" w:type="dxa"/>
            <w:vMerge/>
            <w:shd w:val="clear" w:color="auto" w:fill="auto"/>
            <w:vAlign w:val="center"/>
            <w:hideMark/>
          </w:tcPr>
          <w:p w14:paraId="6867A62E" w14:textId="77777777" w:rsidR="00343B0B" w:rsidRPr="00162B16" w:rsidRDefault="00343B0B" w:rsidP="00C61A87">
            <w:pPr>
              <w:autoSpaceDE w:val="0"/>
              <w:autoSpaceDN w:val="0"/>
              <w:adjustRightInd w:val="0"/>
              <w:snapToGrid w:val="0"/>
              <w:spacing w:line="240" w:lineRule="auto"/>
              <w:jc w:val="center"/>
              <w:rPr>
                <w:noProof w:val="0"/>
                <w:color w:val="auto"/>
                <w:lang w:eastAsia="en-US"/>
              </w:rPr>
            </w:pPr>
          </w:p>
        </w:tc>
      </w:tr>
      <w:tr w:rsidR="00162B16" w:rsidRPr="00162B16" w14:paraId="30A26EBF" w14:textId="77777777" w:rsidTr="00C61A87">
        <w:trPr>
          <w:jc w:val="center"/>
        </w:trPr>
        <w:tc>
          <w:tcPr>
            <w:tcW w:w="3997" w:type="dxa"/>
            <w:shd w:val="clear" w:color="auto" w:fill="auto"/>
            <w:vAlign w:val="center"/>
            <w:hideMark/>
          </w:tcPr>
          <w:p w14:paraId="3A87F6D7"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Widowed</w:t>
            </w:r>
          </w:p>
        </w:tc>
        <w:tc>
          <w:tcPr>
            <w:tcW w:w="1390" w:type="dxa"/>
            <w:shd w:val="clear" w:color="auto" w:fill="auto"/>
            <w:vAlign w:val="center"/>
            <w:hideMark/>
          </w:tcPr>
          <w:p w14:paraId="0D15703F"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122 (8.3)</w:t>
            </w:r>
            <w:r w:rsidRPr="00162B16">
              <w:rPr>
                <w:noProof w:val="0"/>
                <w:color w:val="auto"/>
                <w:vertAlign w:val="superscript"/>
              </w:rPr>
              <w:t xml:space="preserve"> a, b</w:t>
            </w:r>
          </w:p>
        </w:tc>
        <w:tc>
          <w:tcPr>
            <w:tcW w:w="1265" w:type="dxa"/>
            <w:shd w:val="clear" w:color="auto" w:fill="auto"/>
            <w:vAlign w:val="center"/>
            <w:hideMark/>
          </w:tcPr>
          <w:p w14:paraId="0A7FE812"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101 (7.2)</w:t>
            </w:r>
            <w:r w:rsidRPr="00162B16">
              <w:rPr>
                <w:noProof w:val="0"/>
                <w:color w:val="auto"/>
                <w:vertAlign w:val="superscript"/>
              </w:rPr>
              <w:t xml:space="preserve"> b</w:t>
            </w:r>
          </w:p>
        </w:tc>
        <w:tc>
          <w:tcPr>
            <w:tcW w:w="1557" w:type="dxa"/>
            <w:shd w:val="clear" w:color="auto" w:fill="auto"/>
            <w:vAlign w:val="center"/>
            <w:hideMark/>
          </w:tcPr>
          <w:p w14:paraId="67F6C371"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174 (9.6) </w:t>
            </w:r>
            <w:r w:rsidRPr="00162B16">
              <w:rPr>
                <w:noProof w:val="0"/>
                <w:color w:val="auto"/>
                <w:vertAlign w:val="superscript"/>
              </w:rPr>
              <w:t>a</w:t>
            </w:r>
          </w:p>
        </w:tc>
        <w:tc>
          <w:tcPr>
            <w:tcW w:w="877" w:type="dxa"/>
            <w:vMerge/>
            <w:shd w:val="clear" w:color="auto" w:fill="auto"/>
            <w:vAlign w:val="center"/>
            <w:hideMark/>
          </w:tcPr>
          <w:p w14:paraId="00B4BC24" w14:textId="77777777" w:rsidR="00343B0B" w:rsidRPr="00162B16" w:rsidRDefault="00343B0B" w:rsidP="00C61A87">
            <w:pPr>
              <w:autoSpaceDE w:val="0"/>
              <w:autoSpaceDN w:val="0"/>
              <w:adjustRightInd w:val="0"/>
              <w:snapToGrid w:val="0"/>
              <w:spacing w:line="240" w:lineRule="auto"/>
              <w:jc w:val="center"/>
              <w:rPr>
                <w:noProof w:val="0"/>
                <w:color w:val="auto"/>
                <w:lang w:eastAsia="en-US"/>
              </w:rPr>
            </w:pPr>
          </w:p>
        </w:tc>
      </w:tr>
      <w:tr w:rsidR="00162B16" w:rsidRPr="00162B16" w14:paraId="61487A4E" w14:textId="77777777" w:rsidTr="00C61A87">
        <w:trPr>
          <w:jc w:val="center"/>
        </w:trPr>
        <w:tc>
          <w:tcPr>
            <w:tcW w:w="3997" w:type="dxa"/>
            <w:shd w:val="clear" w:color="auto" w:fill="auto"/>
            <w:vAlign w:val="center"/>
          </w:tcPr>
          <w:p w14:paraId="627F5BAB"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390" w:type="dxa"/>
            <w:shd w:val="clear" w:color="auto" w:fill="auto"/>
            <w:vAlign w:val="center"/>
          </w:tcPr>
          <w:p w14:paraId="4AECA2FF" w14:textId="77777777" w:rsidR="00343B0B" w:rsidRPr="00162B16" w:rsidRDefault="00343B0B" w:rsidP="00C61A87">
            <w:pPr>
              <w:autoSpaceDE w:val="0"/>
              <w:autoSpaceDN w:val="0"/>
              <w:adjustRightInd w:val="0"/>
              <w:snapToGrid w:val="0"/>
              <w:spacing w:line="240" w:lineRule="auto"/>
              <w:jc w:val="center"/>
              <w:rPr>
                <w:rFonts w:cstheme="minorBidi"/>
                <w:noProof w:val="0"/>
                <w:color w:val="auto"/>
              </w:rPr>
            </w:pPr>
          </w:p>
        </w:tc>
        <w:tc>
          <w:tcPr>
            <w:tcW w:w="1265" w:type="dxa"/>
            <w:shd w:val="clear" w:color="auto" w:fill="auto"/>
            <w:vAlign w:val="center"/>
          </w:tcPr>
          <w:p w14:paraId="7335FA22"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557" w:type="dxa"/>
            <w:shd w:val="clear" w:color="auto" w:fill="auto"/>
            <w:vAlign w:val="center"/>
          </w:tcPr>
          <w:p w14:paraId="78C9E0F6"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877" w:type="dxa"/>
            <w:vMerge/>
            <w:shd w:val="clear" w:color="auto" w:fill="auto"/>
            <w:vAlign w:val="center"/>
            <w:hideMark/>
          </w:tcPr>
          <w:p w14:paraId="73C82BE2" w14:textId="77777777" w:rsidR="00343B0B" w:rsidRPr="00162B16" w:rsidRDefault="00343B0B" w:rsidP="00C61A87">
            <w:pPr>
              <w:autoSpaceDE w:val="0"/>
              <w:autoSpaceDN w:val="0"/>
              <w:adjustRightInd w:val="0"/>
              <w:snapToGrid w:val="0"/>
              <w:spacing w:line="240" w:lineRule="auto"/>
              <w:jc w:val="center"/>
              <w:rPr>
                <w:noProof w:val="0"/>
                <w:color w:val="auto"/>
                <w:lang w:eastAsia="en-US"/>
              </w:rPr>
            </w:pPr>
          </w:p>
        </w:tc>
      </w:tr>
      <w:tr w:rsidR="00162B16" w:rsidRPr="00162B16" w14:paraId="6064E197" w14:textId="77777777" w:rsidTr="00C61A87">
        <w:trPr>
          <w:jc w:val="center"/>
        </w:trPr>
        <w:tc>
          <w:tcPr>
            <w:tcW w:w="3997" w:type="dxa"/>
            <w:shd w:val="clear" w:color="auto" w:fill="auto"/>
            <w:vAlign w:val="center"/>
            <w:hideMark/>
          </w:tcPr>
          <w:p w14:paraId="3488F042"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Other</w:t>
            </w:r>
          </w:p>
        </w:tc>
        <w:tc>
          <w:tcPr>
            <w:tcW w:w="1390" w:type="dxa"/>
            <w:shd w:val="clear" w:color="auto" w:fill="auto"/>
            <w:vAlign w:val="center"/>
            <w:hideMark/>
          </w:tcPr>
          <w:p w14:paraId="0475D95D"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46 (3.1) </w:t>
            </w:r>
            <w:r w:rsidRPr="00162B16">
              <w:rPr>
                <w:noProof w:val="0"/>
                <w:color w:val="auto"/>
                <w:vertAlign w:val="superscript"/>
              </w:rPr>
              <w:t>a</w:t>
            </w:r>
          </w:p>
        </w:tc>
        <w:tc>
          <w:tcPr>
            <w:tcW w:w="1265" w:type="dxa"/>
            <w:shd w:val="clear" w:color="auto" w:fill="auto"/>
            <w:vAlign w:val="center"/>
            <w:hideMark/>
          </w:tcPr>
          <w:p w14:paraId="38207FE8"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57 (4.1) </w:t>
            </w:r>
            <w:r w:rsidRPr="00162B16">
              <w:rPr>
                <w:noProof w:val="0"/>
                <w:color w:val="auto"/>
                <w:vertAlign w:val="superscript"/>
              </w:rPr>
              <w:t>a</w:t>
            </w:r>
          </w:p>
        </w:tc>
        <w:tc>
          <w:tcPr>
            <w:tcW w:w="1557" w:type="dxa"/>
            <w:shd w:val="clear" w:color="auto" w:fill="auto"/>
            <w:vAlign w:val="center"/>
            <w:hideMark/>
          </w:tcPr>
          <w:p w14:paraId="51D7A6D2"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130 (7.2) </w:t>
            </w:r>
            <w:r w:rsidRPr="00162B16">
              <w:rPr>
                <w:noProof w:val="0"/>
                <w:color w:val="auto"/>
                <w:vertAlign w:val="superscript"/>
              </w:rPr>
              <w:t>b</w:t>
            </w:r>
          </w:p>
        </w:tc>
        <w:tc>
          <w:tcPr>
            <w:tcW w:w="877" w:type="dxa"/>
            <w:vMerge/>
            <w:shd w:val="clear" w:color="auto" w:fill="auto"/>
            <w:vAlign w:val="center"/>
            <w:hideMark/>
          </w:tcPr>
          <w:p w14:paraId="5927A153" w14:textId="77777777" w:rsidR="00343B0B" w:rsidRPr="00162B16" w:rsidRDefault="00343B0B" w:rsidP="00C61A87">
            <w:pPr>
              <w:autoSpaceDE w:val="0"/>
              <w:autoSpaceDN w:val="0"/>
              <w:adjustRightInd w:val="0"/>
              <w:snapToGrid w:val="0"/>
              <w:spacing w:line="240" w:lineRule="auto"/>
              <w:jc w:val="center"/>
              <w:rPr>
                <w:noProof w:val="0"/>
                <w:color w:val="auto"/>
                <w:lang w:eastAsia="en-US"/>
              </w:rPr>
            </w:pPr>
          </w:p>
        </w:tc>
      </w:tr>
      <w:tr w:rsidR="00162B16" w:rsidRPr="00162B16" w14:paraId="6F1B0D9F" w14:textId="77777777" w:rsidTr="00C61A87">
        <w:trPr>
          <w:jc w:val="center"/>
        </w:trPr>
        <w:tc>
          <w:tcPr>
            <w:tcW w:w="3997" w:type="dxa"/>
            <w:shd w:val="clear" w:color="auto" w:fill="auto"/>
            <w:vAlign w:val="center"/>
          </w:tcPr>
          <w:p w14:paraId="192F420A"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390" w:type="dxa"/>
            <w:shd w:val="clear" w:color="auto" w:fill="auto"/>
            <w:vAlign w:val="center"/>
          </w:tcPr>
          <w:p w14:paraId="4505277D"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265" w:type="dxa"/>
            <w:shd w:val="clear" w:color="auto" w:fill="auto"/>
            <w:vAlign w:val="center"/>
          </w:tcPr>
          <w:p w14:paraId="71C8C68A"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557" w:type="dxa"/>
            <w:shd w:val="clear" w:color="auto" w:fill="auto"/>
            <w:vAlign w:val="center"/>
          </w:tcPr>
          <w:p w14:paraId="3E759E0F"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877" w:type="dxa"/>
            <w:shd w:val="clear" w:color="auto" w:fill="auto"/>
            <w:vAlign w:val="center"/>
          </w:tcPr>
          <w:p w14:paraId="413D7E17" w14:textId="77777777" w:rsidR="00343B0B" w:rsidRPr="00162B16" w:rsidRDefault="00343B0B" w:rsidP="00C61A87">
            <w:pPr>
              <w:autoSpaceDE w:val="0"/>
              <w:autoSpaceDN w:val="0"/>
              <w:adjustRightInd w:val="0"/>
              <w:snapToGrid w:val="0"/>
              <w:spacing w:line="240" w:lineRule="auto"/>
              <w:jc w:val="center"/>
              <w:rPr>
                <w:noProof w:val="0"/>
                <w:color w:val="auto"/>
              </w:rPr>
            </w:pPr>
          </w:p>
        </w:tc>
      </w:tr>
      <w:tr w:rsidR="00162B16" w:rsidRPr="00162B16" w14:paraId="0635CD48" w14:textId="77777777" w:rsidTr="00C61A87">
        <w:trPr>
          <w:jc w:val="center"/>
        </w:trPr>
        <w:tc>
          <w:tcPr>
            <w:tcW w:w="3997" w:type="dxa"/>
            <w:shd w:val="clear" w:color="auto" w:fill="auto"/>
            <w:vAlign w:val="center"/>
            <w:hideMark/>
          </w:tcPr>
          <w:p w14:paraId="7BE681B9"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BMI (mean)</w:t>
            </w:r>
          </w:p>
        </w:tc>
        <w:tc>
          <w:tcPr>
            <w:tcW w:w="1390" w:type="dxa"/>
            <w:shd w:val="clear" w:color="auto" w:fill="auto"/>
            <w:vAlign w:val="center"/>
            <w:hideMark/>
          </w:tcPr>
          <w:p w14:paraId="550B84E0"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28.1</w:t>
            </w:r>
          </w:p>
        </w:tc>
        <w:tc>
          <w:tcPr>
            <w:tcW w:w="1265" w:type="dxa"/>
            <w:shd w:val="clear" w:color="auto" w:fill="auto"/>
            <w:vAlign w:val="center"/>
            <w:hideMark/>
          </w:tcPr>
          <w:p w14:paraId="35F56A28"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28.0</w:t>
            </w:r>
          </w:p>
        </w:tc>
        <w:tc>
          <w:tcPr>
            <w:tcW w:w="1557" w:type="dxa"/>
            <w:shd w:val="clear" w:color="auto" w:fill="auto"/>
            <w:vAlign w:val="center"/>
            <w:hideMark/>
          </w:tcPr>
          <w:p w14:paraId="22F63FC6"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28.3</w:t>
            </w:r>
          </w:p>
        </w:tc>
        <w:tc>
          <w:tcPr>
            <w:tcW w:w="877" w:type="dxa"/>
            <w:shd w:val="clear" w:color="auto" w:fill="auto"/>
            <w:vAlign w:val="center"/>
            <w:hideMark/>
          </w:tcPr>
          <w:p w14:paraId="5BF94E18"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0.31</w:t>
            </w:r>
          </w:p>
        </w:tc>
      </w:tr>
      <w:tr w:rsidR="00162B16" w:rsidRPr="00162B16" w14:paraId="58B481D5" w14:textId="77777777" w:rsidTr="00C61A87">
        <w:trPr>
          <w:jc w:val="center"/>
        </w:trPr>
        <w:tc>
          <w:tcPr>
            <w:tcW w:w="3997" w:type="dxa"/>
            <w:shd w:val="clear" w:color="auto" w:fill="auto"/>
            <w:vAlign w:val="center"/>
          </w:tcPr>
          <w:p w14:paraId="5910FF79"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390" w:type="dxa"/>
            <w:shd w:val="clear" w:color="auto" w:fill="auto"/>
            <w:vAlign w:val="center"/>
          </w:tcPr>
          <w:p w14:paraId="7C25A742"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265" w:type="dxa"/>
            <w:shd w:val="clear" w:color="auto" w:fill="auto"/>
            <w:vAlign w:val="center"/>
          </w:tcPr>
          <w:p w14:paraId="4B8E9B2B"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557" w:type="dxa"/>
            <w:shd w:val="clear" w:color="auto" w:fill="auto"/>
            <w:vAlign w:val="center"/>
          </w:tcPr>
          <w:p w14:paraId="38E394C4"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877" w:type="dxa"/>
            <w:shd w:val="clear" w:color="auto" w:fill="auto"/>
            <w:vAlign w:val="center"/>
          </w:tcPr>
          <w:p w14:paraId="0DCEFC5F" w14:textId="77777777" w:rsidR="00343B0B" w:rsidRPr="00162B16" w:rsidRDefault="00343B0B" w:rsidP="00C61A87">
            <w:pPr>
              <w:autoSpaceDE w:val="0"/>
              <w:autoSpaceDN w:val="0"/>
              <w:adjustRightInd w:val="0"/>
              <w:snapToGrid w:val="0"/>
              <w:spacing w:line="240" w:lineRule="auto"/>
              <w:jc w:val="center"/>
              <w:rPr>
                <w:noProof w:val="0"/>
                <w:color w:val="auto"/>
              </w:rPr>
            </w:pPr>
          </w:p>
        </w:tc>
      </w:tr>
      <w:tr w:rsidR="00162B16" w:rsidRPr="00162B16" w14:paraId="00F44001" w14:textId="77777777" w:rsidTr="00C61A87">
        <w:trPr>
          <w:jc w:val="center"/>
        </w:trPr>
        <w:tc>
          <w:tcPr>
            <w:tcW w:w="3997" w:type="dxa"/>
            <w:shd w:val="clear" w:color="auto" w:fill="auto"/>
            <w:vAlign w:val="center"/>
            <w:hideMark/>
          </w:tcPr>
          <w:p w14:paraId="1FE5A07F"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BMI categories</w:t>
            </w:r>
          </w:p>
        </w:tc>
        <w:tc>
          <w:tcPr>
            <w:tcW w:w="1390" w:type="dxa"/>
            <w:shd w:val="clear" w:color="auto" w:fill="auto"/>
            <w:vAlign w:val="center"/>
          </w:tcPr>
          <w:p w14:paraId="474AF2FD"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265" w:type="dxa"/>
            <w:shd w:val="clear" w:color="auto" w:fill="auto"/>
            <w:vAlign w:val="center"/>
          </w:tcPr>
          <w:p w14:paraId="2158BF5C"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557" w:type="dxa"/>
            <w:shd w:val="clear" w:color="auto" w:fill="auto"/>
            <w:vAlign w:val="center"/>
          </w:tcPr>
          <w:p w14:paraId="64B1F207"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877" w:type="dxa"/>
            <w:shd w:val="clear" w:color="auto" w:fill="auto"/>
            <w:vAlign w:val="center"/>
          </w:tcPr>
          <w:p w14:paraId="199EECEF" w14:textId="77777777" w:rsidR="00343B0B" w:rsidRPr="00162B16" w:rsidRDefault="00343B0B" w:rsidP="00C61A87">
            <w:pPr>
              <w:autoSpaceDE w:val="0"/>
              <w:autoSpaceDN w:val="0"/>
              <w:adjustRightInd w:val="0"/>
              <w:snapToGrid w:val="0"/>
              <w:spacing w:line="240" w:lineRule="auto"/>
              <w:jc w:val="center"/>
              <w:rPr>
                <w:noProof w:val="0"/>
                <w:color w:val="auto"/>
              </w:rPr>
            </w:pPr>
          </w:p>
        </w:tc>
      </w:tr>
      <w:tr w:rsidR="00162B16" w:rsidRPr="00162B16" w14:paraId="49DD6635" w14:textId="77777777" w:rsidTr="00C61A87">
        <w:trPr>
          <w:jc w:val="center"/>
        </w:trPr>
        <w:tc>
          <w:tcPr>
            <w:tcW w:w="3997" w:type="dxa"/>
            <w:shd w:val="clear" w:color="auto" w:fill="auto"/>
            <w:vAlign w:val="center"/>
            <w:hideMark/>
          </w:tcPr>
          <w:p w14:paraId="35481C2A"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Underweight</w:t>
            </w:r>
          </w:p>
        </w:tc>
        <w:tc>
          <w:tcPr>
            <w:tcW w:w="1390" w:type="dxa"/>
            <w:shd w:val="clear" w:color="auto" w:fill="auto"/>
            <w:vAlign w:val="center"/>
            <w:hideMark/>
          </w:tcPr>
          <w:p w14:paraId="2A6D3AC5"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143 (10.4) </w:t>
            </w:r>
            <w:r w:rsidRPr="00162B16">
              <w:rPr>
                <w:noProof w:val="0"/>
                <w:color w:val="auto"/>
                <w:vertAlign w:val="superscript"/>
              </w:rPr>
              <w:t>a</w:t>
            </w:r>
          </w:p>
        </w:tc>
        <w:tc>
          <w:tcPr>
            <w:tcW w:w="1265" w:type="dxa"/>
            <w:shd w:val="clear" w:color="auto" w:fill="auto"/>
            <w:vAlign w:val="center"/>
            <w:hideMark/>
          </w:tcPr>
          <w:p w14:paraId="3B746FCC"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307 (23.3) </w:t>
            </w:r>
            <w:r w:rsidRPr="00162B16">
              <w:rPr>
                <w:noProof w:val="0"/>
                <w:color w:val="auto"/>
                <w:vertAlign w:val="superscript"/>
              </w:rPr>
              <w:t>b</w:t>
            </w:r>
          </w:p>
        </w:tc>
        <w:tc>
          <w:tcPr>
            <w:tcW w:w="1557" w:type="dxa"/>
            <w:shd w:val="clear" w:color="auto" w:fill="auto"/>
            <w:vAlign w:val="center"/>
            <w:hideMark/>
          </w:tcPr>
          <w:p w14:paraId="7CF1A73B"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302 (17.8) </w:t>
            </w:r>
            <w:r w:rsidRPr="00162B16">
              <w:rPr>
                <w:noProof w:val="0"/>
                <w:color w:val="auto"/>
                <w:vertAlign w:val="superscript"/>
              </w:rPr>
              <w:t>c</w:t>
            </w:r>
          </w:p>
        </w:tc>
        <w:tc>
          <w:tcPr>
            <w:tcW w:w="877" w:type="dxa"/>
            <w:vMerge w:val="restart"/>
            <w:shd w:val="clear" w:color="auto" w:fill="auto"/>
            <w:vAlign w:val="center"/>
            <w:hideMark/>
          </w:tcPr>
          <w:p w14:paraId="5DA97AEB"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&lt;0.001*</w:t>
            </w:r>
          </w:p>
        </w:tc>
      </w:tr>
      <w:tr w:rsidR="00162B16" w:rsidRPr="00162B16" w14:paraId="11599EB3" w14:textId="77777777" w:rsidTr="00C61A87">
        <w:trPr>
          <w:jc w:val="center"/>
        </w:trPr>
        <w:tc>
          <w:tcPr>
            <w:tcW w:w="3997" w:type="dxa"/>
            <w:shd w:val="clear" w:color="auto" w:fill="auto"/>
            <w:vAlign w:val="center"/>
            <w:hideMark/>
          </w:tcPr>
          <w:p w14:paraId="4DA6DB1E"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Healthy weight</w:t>
            </w:r>
          </w:p>
        </w:tc>
        <w:tc>
          <w:tcPr>
            <w:tcW w:w="1390" w:type="dxa"/>
            <w:shd w:val="clear" w:color="auto" w:fill="auto"/>
            <w:vAlign w:val="center"/>
            <w:hideMark/>
          </w:tcPr>
          <w:p w14:paraId="1530DBE7"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394 (28.6) </w:t>
            </w:r>
            <w:r w:rsidRPr="00162B16">
              <w:rPr>
                <w:noProof w:val="0"/>
                <w:color w:val="auto"/>
                <w:vertAlign w:val="superscript"/>
              </w:rPr>
              <w:t>a</w:t>
            </w:r>
          </w:p>
        </w:tc>
        <w:tc>
          <w:tcPr>
            <w:tcW w:w="1265" w:type="dxa"/>
            <w:shd w:val="clear" w:color="auto" w:fill="auto"/>
            <w:vAlign w:val="center"/>
            <w:hideMark/>
          </w:tcPr>
          <w:p w14:paraId="0E70E3C5"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294 (17.8) </w:t>
            </w:r>
            <w:r w:rsidRPr="00162B16">
              <w:rPr>
                <w:noProof w:val="0"/>
                <w:color w:val="auto"/>
                <w:vertAlign w:val="superscript"/>
              </w:rPr>
              <w:t>b</w:t>
            </w:r>
          </w:p>
        </w:tc>
        <w:tc>
          <w:tcPr>
            <w:tcW w:w="1557" w:type="dxa"/>
            <w:shd w:val="clear" w:color="auto" w:fill="auto"/>
            <w:vAlign w:val="center"/>
            <w:hideMark/>
          </w:tcPr>
          <w:p w14:paraId="1BDEAE8C"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395 (23.3) </w:t>
            </w:r>
            <w:r w:rsidRPr="00162B16">
              <w:rPr>
                <w:noProof w:val="0"/>
                <w:color w:val="auto"/>
                <w:vertAlign w:val="superscript"/>
              </w:rPr>
              <w:t>b</w:t>
            </w:r>
          </w:p>
        </w:tc>
        <w:tc>
          <w:tcPr>
            <w:tcW w:w="877" w:type="dxa"/>
            <w:vMerge/>
            <w:shd w:val="clear" w:color="auto" w:fill="auto"/>
            <w:vAlign w:val="center"/>
            <w:hideMark/>
          </w:tcPr>
          <w:p w14:paraId="48DAEA41" w14:textId="77777777" w:rsidR="00343B0B" w:rsidRPr="00162B16" w:rsidRDefault="00343B0B" w:rsidP="00C61A87">
            <w:pPr>
              <w:autoSpaceDE w:val="0"/>
              <w:autoSpaceDN w:val="0"/>
              <w:adjustRightInd w:val="0"/>
              <w:snapToGrid w:val="0"/>
              <w:spacing w:line="240" w:lineRule="auto"/>
              <w:jc w:val="center"/>
              <w:rPr>
                <w:noProof w:val="0"/>
                <w:color w:val="auto"/>
                <w:lang w:eastAsia="en-US"/>
              </w:rPr>
            </w:pPr>
          </w:p>
        </w:tc>
      </w:tr>
      <w:tr w:rsidR="00162B16" w:rsidRPr="00162B16" w14:paraId="7B34AF54" w14:textId="77777777" w:rsidTr="00C61A87">
        <w:trPr>
          <w:jc w:val="center"/>
        </w:trPr>
        <w:tc>
          <w:tcPr>
            <w:tcW w:w="3997" w:type="dxa"/>
            <w:shd w:val="clear" w:color="auto" w:fill="auto"/>
            <w:vAlign w:val="center"/>
            <w:hideMark/>
          </w:tcPr>
          <w:p w14:paraId="3629FFC3"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Overweight</w:t>
            </w:r>
          </w:p>
        </w:tc>
        <w:tc>
          <w:tcPr>
            <w:tcW w:w="1390" w:type="dxa"/>
            <w:shd w:val="clear" w:color="auto" w:fill="auto"/>
            <w:vAlign w:val="center"/>
            <w:hideMark/>
          </w:tcPr>
          <w:p w14:paraId="0445A14D"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440 (32) </w:t>
            </w:r>
            <w:r w:rsidRPr="00162B16">
              <w:rPr>
                <w:noProof w:val="0"/>
                <w:color w:val="auto"/>
                <w:vertAlign w:val="superscript"/>
              </w:rPr>
              <w:t>a</w:t>
            </w:r>
          </w:p>
        </w:tc>
        <w:tc>
          <w:tcPr>
            <w:tcW w:w="1265" w:type="dxa"/>
            <w:shd w:val="clear" w:color="auto" w:fill="auto"/>
            <w:vAlign w:val="center"/>
            <w:hideMark/>
          </w:tcPr>
          <w:p w14:paraId="7E49C90E"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395 (30) </w:t>
            </w:r>
            <w:r w:rsidRPr="00162B16">
              <w:rPr>
                <w:noProof w:val="0"/>
                <w:color w:val="auto"/>
                <w:vertAlign w:val="superscript"/>
              </w:rPr>
              <w:t>a</w:t>
            </w:r>
          </w:p>
        </w:tc>
        <w:tc>
          <w:tcPr>
            <w:tcW w:w="1557" w:type="dxa"/>
            <w:shd w:val="clear" w:color="auto" w:fill="auto"/>
            <w:vAlign w:val="center"/>
            <w:hideMark/>
          </w:tcPr>
          <w:p w14:paraId="6FB3263A"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488 (28.8) </w:t>
            </w:r>
            <w:r w:rsidRPr="00162B16">
              <w:rPr>
                <w:noProof w:val="0"/>
                <w:color w:val="auto"/>
                <w:vertAlign w:val="superscript"/>
              </w:rPr>
              <w:t>a</w:t>
            </w:r>
          </w:p>
        </w:tc>
        <w:tc>
          <w:tcPr>
            <w:tcW w:w="877" w:type="dxa"/>
            <w:vMerge/>
            <w:shd w:val="clear" w:color="auto" w:fill="auto"/>
            <w:vAlign w:val="center"/>
            <w:hideMark/>
          </w:tcPr>
          <w:p w14:paraId="46CE80EC" w14:textId="77777777" w:rsidR="00343B0B" w:rsidRPr="00162B16" w:rsidRDefault="00343B0B" w:rsidP="00C61A87">
            <w:pPr>
              <w:autoSpaceDE w:val="0"/>
              <w:autoSpaceDN w:val="0"/>
              <w:adjustRightInd w:val="0"/>
              <w:snapToGrid w:val="0"/>
              <w:spacing w:line="240" w:lineRule="auto"/>
              <w:jc w:val="center"/>
              <w:rPr>
                <w:noProof w:val="0"/>
                <w:color w:val="auto"/>
                <w:lang w:eastAsia="en-US"/>
              </w:rPr>
            </w:pPr>
          </w:p>
        </w:tc>
      </w:tr>
      <w:tr w:rsidR="00162B16" w:rsidRPr="00162B16" w14:paraId="0621A865" w14:textId="77777777" w:rsidTr="00C61A87">
        <w:trPr>
          <w:jc w:val="center"/>
        </w:trPr>
        <w:tc>
          <w:tcPr>
            <w:tcW w:w="3997" w:type="dxa"/>
            <w:shd w:val="clear" w:color="auto" w:fill="auto"/>
            <w:vAlign w:val="center"/>
            <w:hideMark/>
          </w:tcPr>
          <w:p w14:paraId="2F37224D"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Obese</w:t>
            </w:r>
          </w:p>
        </w:tc>
        <w:tc>
          <w:tcPr>
            <w:tcW w:w="1390" w:type="dxa"/>
            <w:shd w:val="clear" w:color="auto" w:fill="auto"/>
            <w:vAlign w:val="center"/>
            <w:hideMark/>
          </w:tcPr>
          <w:p w14:paraId="712BB651"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399 (29) </w:t>
            </w:r>
            <w:r w:rsidRPr="00162B16">
              <w:rPr>
                <w:noProof w:val="0"/>
                <w:color w:val="auto"/>
                <w:vertAlign w:val="superscript"/>
              </w:rPr>
              <w:t>a</w:t>
            </w:r>
          </w:p>
        </w:tc>
        <w:tc>
          <w:tcPr>
            <w:tcW w:w="1265" w:type="dxa"/>
            <w:shd w:val="clear" w:color="auto" w:fill="auto"/>
            <w:vAlign w:val="center"/>
            <w:hideMark/>
          </w:tcPr>
          <w:p w14:paraId="34FE332B"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320 (24.3) </w:t>
            </w:r>
            <w:r w:rsidRPr="00162B16">
              <w:rPr>
                <w:noProof w:val="0"/>
                <w:color w:val="auto"/>
                <w:vertAlign w:val="superscript"/>
              </w:rPr>
              <w:t>b</w:t>
            </w:r>
          </w:p>
        </w:tc>
        <w:tc>
          <w:tcPr>
            <w:tcW w:w="1557" w:type="dxa"/>
            <w:shd w:val="clear" w:color="auto" w:fill="auto"/>
            <w:vAlign w:val="center"/>
            <w:hideMark/>
          </w:tcPr>
          <w:p w14:paraId="16FDC846"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510 (30.1) </w:t>
            </w:r>
            <w:r w:rsidRPr="00162B16">
              <w:rPr>
                <w:noProof w:val="0"/>
                <w:color w:val="auto"/>
                <w:vertAlign w:val="superscript"/>
              </w:rPr>
              <w:t>a</w:t>
            </w:r>
          </w:p>
        </w:tc>
        <w:tc>
          <w:tcPr>
            <w:tcW w:w="877" w:type="dxa"/>
            <w:vMerge/>
            <w:shd w:val="clear" w:color="auto" w:fill="auto"/>
            <w:vAlign w:val="center"/>
            <w:hideMark/>
          </w:tcPr>
          <w:p w14:paraId="20F8DC21" w14:textId="77777777" w:rsidR="00343B0B" w:rsidRPr="00162B16" w:rsidRDefault="00343B0B" w:rsidP="00C61A87">
            <w:pPr>
              <w:autoSpaceDE w:val="0"/>
              <w:autoSpaceDN w:val="0"/>
              <w:adjustRightInd w:val="0"/>
              <w:snapToGrid w:val="0"/>
              <w:spacing w:line="240" w:lineRule="auto"/>
              <w:jc w:val="center"/>
              <w:rPr>
                <w:noProof w:val="0"/>
                <w:color w:val="auto"/>
                <w:lang w:eastAsia="en-US"/>
              </w:rPr>
            </w:pPr>
          </w:p>
        </w:tc>
      </w:tr>
      <w:tr w:rsidR="00162B16" w:rsidRPr="00162B16" w14:paraId="10EB9C22" w14:textId="77777777" w:rsidTr="00C61A87">
        <w:trPr>
          <w:jc w:val="center"/>
        </w:trPr>
        <w:tc>
          <w:tcPr>
            <w:tcW w:w="3997" w:type="dxa"/>
            <w:shd w:val="clear" w:color="auto" w:fill="auto"/>
            <w:vAlign w:val="center"/>
          </w:tcPr>
          <w:p w14:paraId="5445EC54"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390" w:type="dxa"/>
            <w:shd w:val="clear" w:color="auto" w:fill="auto"/>
            <w:vAlign w:val="center"/>
          </w:tcPr>
          <w:p w14:paraId="198830DA" w14:textId="77777777" w:rsidR="00343B0B" w:rsidRPr="00162B16" w:rsidRDefault="00343B0B" w:rsidP="00C61A87">
            <w:pPr>
              <w:autoSpaceDE w:val="0"/>
              <w:autoSpaceDN w:val="0"/>
              <w:adjustRightInd w:val="0"/>
              <w:snapToGrid w:val="0"/>
              <w:spacing w:line="240" w:lineRule="auto"/>
              <w:jc w:val="center"/>
              <w:rPr>
                <w:rFonts w:cstheme="minorBidi"/>
                <w:noProof w:val="0"/>
                <w:color w:val="auto"/>
              </w:rPr>
            </w:pPr>
          </w:p>
        </w:tc>
        <w:tc>
          <w:tcPr>
            <w:tcW w:w="1265" w:type="dxa"/>
            <w:shd w:val="clear" w:color="auto" w:fill="auto"/>
            <w:vAlign w:val="center"/>
          </w:tcPr>
          <w:p w14:paraId="18C6E8F9"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557" w:type="dxa"/>
            <w:shd w:val="clear" w:color="auto" w:fill="auto"/>
            <w:vAlign w:val="center"/>
          </w:tcPr>
          <w:p w14:paraId="21E460C4"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877" w:type="dxa"/>
            <w:shd w:val="clear" w:color="auto" w:fill="auto"/>
            <w:vAlign w:val="center"/>
          </w:tcPr>
          <w:p w14:paraId="5160FD8B" w14:textId="77777777" w:rsidR="00343B0B" w:rsidRPr="00162B16" w:rsidRDefault="00343B0B" w:rsidP="00C61A87">
            <w:pPr>
              <w:autoSpaceDE w:val="0"/>
              <w:autoSpaceDN w:val="0"/>
              <w:adjustRightInd w:val="0"/>
              <w:snapToGrid w:val="0"/>
              <w:spacing w:line="240" w:lineRule="auto"/>
              <w:jc w:val="center"/>
              <w:rPr>
                <w:noProof w:val="0"/>
                <w:color w:val="auto"/>
              </w:rPr>
            </w:pPr>
          </w:p>
        </w:tc>
      </w:tr>
      <w:tr w:rsidR="00162B16" w:rsidRPr="00162B16" w14:paraId="2AA8B988" w14:textId="77777777" w:rsidTr="00C61A87">
        <w:trPr>
          <w:jc w:val="center"/>
        </w:trPr>
        <w:tc>
          <w:tcPr>
            <w:tcW w:w="3997" w:type="dxa"/>
            <w:shd w:val="clear" w:color="auto" w:fill="auto"/>
            <w:vAlign w:val="center"/>
            <w:hideMark/>
          </w:tcPr>
          <w:p w14:paraId="39D187A3"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Non-smokers</w:t>
            </w:r>
          </w:p>
        </w:tc>
        <w:tc>
          <w:tcPr>
            <w:tcW w:w="1390" w:type="dxa"/>
            <w:shd w:val="clear" w:color="auto" w:fill="auto"/>
            <w:vAlign w:val="center"/>
            <w:hideMark/>
          </w:tcPr>
          <w:p w14:paraId="364D5667" w14:textId="77777777" w:rsidR="00343B0B" w:rsidRPr="00162B16" w:rsidRDefault="00343B0B" w:rsidP="00C61A87">
            <w:pPr>
              <w:autoSpaceDE w:val="0"/>
              <w:autoSpaceDN w:val="0"/>
              <w:adjustRightInd w:val="0"/>
              <w:snapToGrid w:val="0"/>
              <w:spacing w:line="240" w:lineRule="auto"/>
              <w:jc w:val="center"/>
              <w:rPr>
                <w:rFonts w:cstheme="minorBidi"/>
                <w:noProof w:val="0"/>
                <w:color w:val="auto"/>
              </w:rPr>
            </w:pPr>
            <w:r w:rsidRPr="00162B16">
              <w:rPr>
                <w:noProof w:val="0"/>
                <w:color w:val="auto"/>
              </w:rPr>
              <w:t xml:space="preserve">1220 (82.7) </w:t>
            </w:r>
            <w:r w:rsidRPr="00162B16">
              <w:rPr>
                <w:noProof w:val="0"/>
                <w:color w:val="auto"/>
                <w:vertAlign w:val="superscript"/>
              </w:rPr>
              <w:t>a</w:t>
            </w:r>
            <w:r w:rsidRPr="00162B16">
              <w:rPr>
                <w:noProof w:val="0"/>
                <w:color w:val="auto"/>
              </w:rPr>
              <w:t xml:space="preserve"> </w:t>
            </w:r>
          </w:p>
        </w:tc>
        <w:tc>
          <w:tcPr>
            <w:tcW w:w="1265" w:type="dxa"/>
            <w:shd w:val="clear" w:color="auto" w:fill="auto"/>
            <w:vAlign w:val="center"/>
            <w:hideMark/>
          </w:tcPr>
          <w:p w14:paraId="4FF86D42"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1087 (78) </w:t>
            </w:r>
            <w:r w:rsidRPr="00162B16">
              <w:rPr>
                <w:noProof w:val="0"/>
                <w:color w:val="auto"/>
                <w:vertAlign w:val="superscript"/>
              </w:rPr>
              <w:t>b</w:t>
            </w:r>
          </w:p>
        </w:tc>
        <w:tc>
          <w:tcPr>
            <w:tcW w:w="1557" w:type="dxa"/>
            <w:shd w:val="clear" w:color="auto" w:fill="auto"/>
            <w:vAlign w:val="center"/>
            <w:hideMark/>
          </w:tcPr>
          <w:p w14:paraId="08844D87"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1433 (79.5) </w:t>
            </w:r>
            <w:r w:rsidRPr="00162B16">
              <w:rPr>
                <w:noProof w:val="0"/>
                <w:color w:val="auto"/>
                <w:vertAlign w:val="superscript"/>
              </w:rPr>
              <w:t>a, b</w:t>
            </w:r>
          </w:p>
        </w:tc>
        <w:tc>
          <w:tcPr>
            <w:tcW w:w="877" w:type="dxa"/>
            <w:shd w:val="clear" w:color="auto" w:fill="auto"/>
            <w:vAlign w:val="center"/>
            <w:hideMark/>
          </w:tcPr>
          <w:p w14:paraId="569EF1A2"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&lt;0.001*</w:t>
            </w:r>
          </w:p>
        </w:tc>
      </w:tr>
      <w:tr w:rsidR="00162B16" w:rsidRPr="00162B16" w14:paraId="7FBF1A95" w14:textId="77777777" w:rsidTr="00C61A87">
        <w:trPr>
          <w:jc w:val="center"/>
        </w:trPr>
        <w:tc>
          <w:tcPr>
            <w:tcW w:w="3997" w:type="dxa"/>
            <w:shd w:val="clear" w:color="auto" w:fill="auto"/>
            <w:vAlign w:val="center"/>
          </w:tcPr>
          <w:p w14:paraId="25E25C8B"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390" w:type="dxa"/>
            <w:shd w:val="clear" w:color="auto" w:fill="auto"/>
            <w:vAlign w:val="center"/>
          </w:tcPr>
          <w:p w14:paraId="7804F491" w14:textId="77777777" w:rsidR="00343B0B" w:rsidRPr="00162B16" w:rsidRDefault="00343B0B" w:rsidP="00C61A87">
            <w:pPr>
              <w:autoSpaceDE w:val="0"/>
              <w:autoSpaceDN w:val="0"/>
              <w:adjustRightInd w:val="0"/>
              <w:snapToGrid w:val="0"/>
              <w:spacing w:line="240" w:lineRule="auto"/>
              <w:jc w:val="center"/>
              <w:rPr>
                <w:rFonts w:cstheme="minorBidi"/>
                <w:noProof w:val="0"/>
                <w:color w:val="auto"/>
              </w:rPr>
            </w:pPr>
          </w:p>
        </w:tc>
        <w:tc>
          <w:tcPr>
            <w:tcW w:w="1265" w:type="dxa"/>
            <w:shd w:val="clear" w:color="auto" w:fill="auto"/>
            <w:vAlign w:val="center"/>
          </w:tcPr>
          <w:p w14:paraId="71276817"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557" w:type="dxa"/>
            <w:shd w:val="clear" w:color="auto" w:fill="auto"/>
            <w:vAlign w:val="center"/>
          </w:tcPr>
          <w:p w14:paraId="0FD13FA8"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877" w:type="dxa"/>
            <w:shd w:val="clear" w:color="auto" w:fill="auto"/>
            <w:vAlign w:val="center"/>
          </w:tcPr>
          <w:p w14:paraId="6983C8E6" w14:textId="77777777" w:rsidR="00343B0B" w:rsidRPr="00162B16" w:rsidRDefault="00343B0B" w:rsidP="00C61A87">
            <w:pPr>
              <w:autoSpaceDE w:val="0"/>
              <w:autoSpaceDN w:val="0"/>
              <w:adjustRightInd w:val="0"/>
              <w:snapToGrid w:val="0"/>
              <w:spacing w:line="240" w:lineRule="auto"/>
              <w:jc w:val="center"/>
              <w:rPr>
                <w:noProof w:val="0"/>
                <w:color w:val="auto"/>
              </w:rPr>
            </w:pPr>
          </w:p>
        </w:tc>
      </w:tr>
      <w:tr w:rsidR="00162B16" w:rsidRPr="00162B16" w14:paraId="63455A35" w14:textId="77777777" w:rsidTr="00C61A87">
        <w:trPr>
          <w:jc w:val="center"/>
        </w:trPr>
        <w:tc>
          <w:tcPr>
            <w:tcW w:w="3997" w:type="dxa"/>
            <w:shd w:val="clear" w:color="auto" w:fill="auto"/>
            <w:vAlign w:val="center"/>
            <w:hideMark/>
          </w:tcPr>
          <w:p w14:paraId="616BD012"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Self-rated health</w:t>
            </w:r>
          </w:p>
        </w:tc>
        <w:tc>
          <w:tcPr>
            <w:tcW w:w="1390" w:type="dxa"/>
            <w:shd w:val="clear" w:color="auto" w:fill="auto"/>
            <w:vAlign w:val="center"/>
          </w:tcPr>
          <w:p w14:paraId="001A2BD1" w14:textId="77777777" w:rsidR="00343B0B" w:rsidRPr="00162B16" w:rsidRDefault="00343B0B" w:rsidP="00C61A87">
            <w:pPr>
              <w:autoSpaceDE w:val="0"/>
              <w:autoSpaceDN w:val="0"/>
              <w:adjustRightInd w:val="0"/>
              <w:snapToGrid w:val="0"/>
              <w:spacing w:line="240" w:lineRule="auto"/>
              <w:jc w:val="center"/>
              <w:rPr>
                <w:rFonts w:cstheme="minorBidi"/>
                <w:noProof w:val="0"/>
                <w:color w:val="auto"/>
              </w:rPr>
            </w:pPr>
          </w:p>
        </w:tc>
        <w:tc>
          <w:tcPr>
            <w:tcW w:w="1265" w:type="dxa"/>
            <w:shd w:val="clear" w:color="auto" w:fill="auto"/>
            <w:vAlign w:val="center"/>
          </w:tcPr>
          <w:p w14:paraId="070FAC46"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557" w:type="dxa"/>
            <w:shd w:val="clear" w:color="auto" w:fill="auto"/>
            <w:vAlign w:val="center"/>
          </w:tcPr>
          <w:p w14:paraId="7F50A782"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877" w:type="dxa"/>
            <w:shd w:val="clear" w:color="auto" w:fill="auto"/>
            <w:vAlign w:val="center"/>
          </w:tcPr>
          <w:p w14:paraId="543729A4" w14:textId="77777777" w:rsidR="00343B0B" w:rsidRPr="00162B16" w:rsidRDefault="00343B0B" w:rsidP="00C61A87">
            <w:pPr>
              <w:autoSpaceDE w:val="0"/>
              <w:autoSpaceDN w:val="0"/>
              <w:adjustRightInd w:val="0"/>
              <w:snapToGrid w:val="0"/>
              <w:spacing w:line="240" w:lineRule="auto"/>
              <w:jc w:val="center"/>
              <w:rPr>
                <w:noProof w:val="0"/>
                <w:color w:val="auto"/>
              </w:rPr>
            </w:pPr>
          </w:p>
        </w:tc>
      </w:tr>
      <w:tr w:rsidR="00162B16" w:rsidRPr="00162B16" w14:paraId="49E064F6" w14:textId="77777777" w:rsidTr="00C61A87">
        <w:trPr>
          <w:jc w:val="center"/>
        </w:trPr>
        <w:tc>
          <w:tcPr>
            <w:tcW w:w="3997" w:type="dxa"/>
            <w:shd w:val="clear" w:color="auto" w:fill="auto"/>
            <w:vAlign w:val="center"/>
            <w:hideMark/>
          </w:tcPr>
          <w:p w14:paraId="76A29717"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Good</w:t>
            </w:r>
          </w:p>
        </w:tc>
        <w:tc>
          <w:tcPr>
            <w:tcW w:w="1390" w:type="dxa"/>
            <w:shd w:val="clear" w:color="auto" w:fill="auto"/>
            <w:vAlign w:val="center"/>
            <w:hideMark/>
          </w:tcPr>
          <w:p w14:paraId="568B4683" w14:textId="77777777" w:rsidR="00343B0B" w:rsidRPr="00162B16" w:rsidRDefault="00343B0B" w:rsidP="00C61A87">
            <w:pPr>
              <w:autoSpaceDE w:val="0"/>
              <w:autoSpaceDN w:val="0"/>
              <w:adjustRightInd w:val="0"/>
              <w:snapToGrid w:val="0"/>
              <w:spacing w:line="240" w:lineRule="auto"/>
              <w:jc w:val="center"/>
              <w:rPr>
                <w:rFonts w:cstheme="minorBidi"/>
                <w:noProof w:val="0"/>
                <w:color w:val="auto"/>
              </w:rPr>
            </w:pPr>
            <w:r w:rsidRPr="00162B16">
              <w:rPr>
                <w:noProof w:val="0"/>
                <w:color w:val="auto"/>
              </w:rPr>
              <w:t xml:space="preserve">818 (55.3) </w:t>
            </w:r>
            <w:r w:rsidRPr="00162B16">
              <w:rPr>
                <w:noProof w:val="0"/>
                <w:color w:val="auto"/>
                <w:vertAlign w:val="superscript"/>
              </w:rPr>
              <w:t>a</w:t>
            </w:r>
          </w:p>
        </w:tc>
        <w:tc>
          <w:tcPr>
            <w:tcW w:w="1265" w:type="dxa"/>
            <w:shd w:val="clear" w:color="auto" w:fill="auto"/>
            <w:vAlign w:val="center"/>
            <w:hideMark/>
          </w:tcPr>
          <w:p w14:paraId="381D04DA"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947 (67.7) </w:t>
            </w:r>
            <w:r w:rsidRPr="00162B16">
              <w:rPr>
                <w:noProof w:val="0"/>
                <w:color w:val="auto"/>
                <w:vertAlign w:val="superscript"/>
              </w:rPr>
              <w:t>b</w:t>
            </w:r>
          </w:p>
        </w:tc>
        <w:tc>
          <w:tcPr>
            <w:tcW w:w="1557" w:type="dxa"/>
            <w:shd w:val="clear" w:color="auto" w:fill="auto"/>
            <w:vAlign w:val="center"/>
            <w:hideMark/>
          </w:tcPr>
          <w:p w14:paraId="4C50034D"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1250 (69.7) </w:t>
            </w:r>
            <w:r w:rsidRPr="00162B16">
              <w:rPr>
                <w:noProof w:val="0"/>
                <w:color w:val="auto"/>
                <w:vertAlign w:val="superscript"/>
              </w:rPr>
              <w:t>b</w:t>
            </w:r>
          </w:p>
        </w:tc>
        <w:tc>
          <w:tcPr>
            <w:tcW w:w="877" w:type="dxa"/>
            <w:vMerge w:val="restart"/>
            <w:shd w:val="clear" w:color="auto" w:fill="auto"/>
            <w:vAlign w:val="center"/>
            <w:hideMark/>
          </w:tcPr>
          <w:p w14:paraId="349B6E3A"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&lt;0.001*</w:t>
            </w:r>
          </w:p>
        </w:tc>
      </w:tr>
      <w:tr w:rsidR="00162B16" w:rsidRPr="00162B16" w14:paraId="1B4DF564" w14:textId="77777777" w:rsidTr="00C61A87">
        <w:trPr>
          <w:jc w:val="center"/>
        </w:trPr>
        <w:tc>
          <w:tcPr>
            <w:tcW w:w="3997" w:type="dxa"/>
            <w:shd w:val="clear" w:color="auto" w:fill="auto"/>
            <w:vAlign w:val="center"/>
            <w:hideMark/>
          </w:tcPr>
          <w:p w14:paraId="408E0C8E"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Fair</w:t>
            </w:r>
          </w:p>
        </w:tc>
        <w:tc>
          <w:tcPr>
            <w:tcW w:w="1390" w:type="dxa"/>
            <w:shd w:val="clear" w:color="auto" w:fill="auto"/>
            <w:vAlign w:val="center"/>
            <w:hideMark/>
          </w:tcPr>
          <w:p w14:paraId="24847F9A" w14:textId="77777777" w:rsidR="00343B0B" w:rsidRPr="00162B16" w:rsidRDefault="00343B0B" w:rsidP="00C61A87">
            <w:pPr>
              <w:autoSpaceDE w:val="0"/>
              <w:autoSpaceDN w:val="0"/>
              <w:adjustRightInd w:val="0"/>
              <w:snapToGrid w:val="0"/>
              <w:spacing w:line="240" w:lineRule="auto"/>
              <w:jc w:val="center"/>
              <w:rPr>
                <w:rFonts w:cstheme="minorBidi"/>
                <w:noProof w:val="0"/>
                <w:color w:val="auto"/>
              </w:rPr>
            </w:pPr>
            <w:r w:rsidRPr="00162B16">
              <w:rPr>
                <w:noProof w:val="0"/>
                <w:color w:val="auto"/>
              </w:rPr>
              <w:t xml:space="preserve">590 (67.7) </w:t>
            </w:r>
            <w:r w:rsidRPr="00162B16">
              <w:rPr>
                <w:noProof w:val="0"/>
                <w:color w:val="auto"/>
                <w:vertAlign w:val="superscript"/>
              </w:rPr>
              <w:t>a</w:t>
            </w:r>
          </w:p>
        </w:tc>
        <w:tc>
          <w:tcPr>
            <w:tcW w:w="1265" w:type="dxa"/>
            <w:shd w:val="clear" w:color="auto" w:fill="auto"/>
            <w:vAlign w:val="center"/>
            <w:hideMark/>
          </w:tcPr>
          <w:p w14:paraId="0A1FEC86"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397 (28.4) </w:t>
            </w:r>
            <w:r w:rsidRPr="00162B16">
              <w:rPr>
                <w:noProof w:val="0"/>
                <w:color w:val="auto"/>
                <w:vertAlign w:val="superscript"/>
              </w:rPr>
              <w:t>b</w:t>
            </w:r>
          </w:p>
        </w:tc>
        <w:tc>
          <w:tcPr>
            <w:tcW w:w="1557" w:type="dxa"/>
            <w:shd w:val="clear" w:color="auto" w:fill="auto"/>
            <w:vAlign w:val="center"/>
            <w:hideMark/>
          </w:tcPr>
          <w:p w14:paraId="05C17F4A"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479 (26.7) </w:t>
            </w:r>
            <w:r w:rsidRPr="00162B16">
              <w:rPr>
                <w:noProof w:val="0"/>
                <w:color w:val="auto"/>
                <w:vertAlign w:val="superscript"/>
              </w:rPr>
              <w:t>b</w:t>
            </w:r>
          </w:p>
        </w:tc>
        <w:tc>
          <w:tcPr>
            <w:tcW w:w="877" w:type="dxa"/>
            <w:vMerge/>
            <w:shd w:val="clear" w:color="auto" w:fill="auto"/>
            <w:vAlign w:val="center"/>
            <w:hideMark/>
          </w:tcPr>
          <w:p w14:paraId="6B3CEC9B" w14:textId="77777777" w:rsidR="00343B0B" w:rsidRPr="00162B16" w:rsidRDefault="00343B0B" w:rsidP="00C61A87">
            <w:pPr>
              <w:autoSpaceDE w:val="0"/>
              <w:autoSpaceDN w:val="0"/>
              <w:adjustRightInd w:val="0"/>
              <w:snapToGrid w:val="0"/>
              <w:spacing w:line="240" w:lineRule="auto"/>
              <w:jc w:val="center"/>
              <w:rPr>
                <w:noProof w:val="0"/>
                <w:color w:val="auto"/>
                <w:lang w:eastAsia="en-US"/>
              </w:rPr>
            </w:pPr>
          </w:p>
        </w:tc>
      </w:tr>
      <w:tr w:rsidR="00162B16" w:rsidRPr="00162B16" w14:paraId="6E9248B8" w14:textId="77777777" w:rsidTr="00C61A87">
        <w:trPr>
          <w:jc w:val="center"/>
        </w:trPr>
        <w:tc>
          <w:tcPr>
            <w:tcW w:w="3997" w:type="dxa"/>
            <w:shd w:val="clear" w:color="auto" w:fill="auto"/>
            <w:vAlign w:val="center"/>
            <w:hideMark/>
          </w:tcPr>
          <w:p w14:paraId="18CBB334"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Bad</w:t>
            </w:r>
          </w:p>
        </w:tc>
        <w:tc>
          <w:tcPr>
            <w:tcW w:w="1390" w:type="dxa"/>
            <w:shd w:val="clear" w:color="auto" w:fill="auto"/>
            <w:vAlign w:val="center"/>
            <w:hideMark/>
          </w:tcPr>
          <w:p w14:paraId="59A69C5E" w14:textId="77777777" w:rsidR="00343B0B" w:rsidRPr="00162B16" w:rsidRDefault="00343B0B" w:rsidP="00C61A87">
            <w:pPr>
              <w:autoSpaceDE w:val="0"/>
              <w:autoSpaceDN w:val="0"/>
              <w:adjustRightInd w:val="0"/>
              <w:snapToGrid w:val="0"/>
              <w:spacing w:line="240" w:lineRule="auto"/>
              <w:jc w:val="center"/>
              <w:rPr>
                <w:rFonts w:cstheme="minorBidi"/>
                <w:noProof w:val="0"/>
                <w:color w:val="auto"/>
              </w:rPr>
            </w:pPr>
            <w:r w:rsidRPr="00162B16">
              <w:rPr>
                <w:noProof w:val="0"/>
                <w:color w:val="auto"/>
              </w:rPr>
              <w:t xml:space="preserve">71 (69.7) </w:t>
            </w:r>
            <w:r w:rsidRPr="00162B16">
              <w:rPr>
                <w:noProof w:val="0"/>
                <w:color w:val="auto"/>
                <w:vertAlign w:val="superscript"/>
              </w:rPr>
              <w:t>b</w:t>
            </w:r>
          </w:p>
        </w:tc>
        <w:tc>
          <w:tcPr>
            <w:tcW w:w="1265" w:type="dxa"/>
            <w:shd w:val="clear" w:color="auto" w:fill="auto"/>
            <w:vAlign w:val="center"/>
            <w:hideMark/>
          </w:tcPr>
          <w:p w14:paraId="67C9B11D"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55 (3.9) </w:t>
            </w:r>
            <w:r w:rsidRPr="00162B16">
              <w:rPr>
                <w:noProof w:val="0"/>
                <w:color w:val="auto"/>
                <w:vertAlign w:val="superscript"/>
              </w:rPr>
              <w:t>a</w:t>
            </w:r>
          </w:p>
        </w:tc>
        <w:tc>
          <w:tcPr>
            <w:tcW w:w="1557" w:type="dxa"/>
            <w:shd w:val="clear" w:color="auto" w:fill="auto"/>
            <w:vAlign w:val="center"/>
            <w:hideMark/>
          </w:tcPr>
          <w:p w14:paraId="3F9CA61D"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65 (3.6) </w:t>
            </w:r>
            <w:r w:rsidRPr="00162B16">
              <w:rPr>
                <w:noProof w:val="0"/>
                <w:color w:val="auto"/>
                <w:vertAlign w:val="superscript"/>
              </w:rPr>
              <w:t>a</w:t>
            </w:r>
          </w:p>
        </w:tc>
        <w:tc>
          <w:tcPr>
            <w:tcW w:w="877" w:type="dxa"/>
            <w:vMerge/>
            <w:shd w:val="clear" w:color="auto" w:fill="auto"/>
            <w:vAlign w:val="center"/>
            <w:hideMark/>
          </w:tcPr>
          <w:p w14:paraId="779D74AF" w14:textId="77777777" w:rsidR="00343B0B" w:rsidRPr="00162B16" w:rsidRDefault="00343B0B" w:rsidP="00C61A87">
            <w:pPr>
              <w:autoSpaceDE w:val="0"/>
              <w:autoSpaceDN w:val="0"/>
              <w:adjustRightInd w:val="0"/>
              <w:snapToGrid w:val="0"/>
              <w:spacing w:line="240" w:lineRule="auto"/>
              <w:jc w:val="center"/>
              <w:rPr>
                <w:noProof w:val="0"/>
                <w:color w:val="auto"/>
                <w:lang w:eastAsia="en-US"/>
              </w:rPr>
            </w:pPr>
          </w:p>
        </w:tc>
      </w:tr>
      <w:tr w:rsidR="00162B16" w:rsidRPr="00162B16" w14:paraId="31A5A2AA" w14:textId="77777777" w:rsidTr="00C61A87">
        <w:trPr>
          <w:jc w:val="center"/>
        </w:trPr>
        <w:tc>
          <w:tcPr>
            <w:tcW w:w="3997" w:type="dxa"/>
            <w:shd w:val="clear" w:color="auto" w:fill="auto"/>
            <w:vAlign w:val="center"/>
          </w:tcPr>
          <w:p w14:paraId="7CFCB174"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390" w:type="dxa"/>
            <w:shd w:val="clear" w:color="auto" w:fill="auto"/>
            <w:vAlign w:val="center"/>
          </w:tcPr>
          <w:p w14:paraId="05309DAA" w14:textId="77777777" w:rsidR="00343B0B" w:rsidRPr="00162B16" w:rsidRDefault="00343B0B" w:rsidP="00C61A87">
            <w:pPr>
              <w:autoSpaceDE w:val="0"/>
              <w:autoSpaceDN w:val="0"/>
              <w:adjustRightInd w:val="0"/>
              <w:snapToGrid w:val="0"/>
              <w:spacing w:line="240" w:lineRule="auto"/>
              <w:jc w:val="center"/>
              <w:rPr>
                <w:rFonts w:cstheme="minorBidi"/>
                <w:noProof w:val="0"/>
                <w:color w:val="auto"/>
              </w:rPr>
            </w:pPr>
          </w:p>
        </w:tc>
        <w:tc>
          <w:tcPr>
            <w:tcW w:w="1265" w:type="dxa"/>
            <w:shd w:val="clear" w:color="auto" w:fill="auto"/>
            <w:vAlign w:val="center"/>
          </w:tcPr>
          <w:p w14:paraId="351D333D"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557" w:type="dxa"/>
            <w:shd w:val="clear" w:color="auto" w:fill="auto"/>
            <w:vAlign w:val="center"/>
          </w:tcPr>
          <w:p w14:paraId="3C4372A4"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877" w:type="dxa"/>
            <w:shd w:val="clear" w:color="auto" w:fill="auto"/>
            <w:vAlign w:val="center"/>
          </w:tcPr>
          <w:p w14:paraId="0291E25C" w14:textId="77777777" w:rsidR="00343B0B" w:rsidRPr="00162B16" w:rsidRDefault="00343B0B" w:rsidP="00C61A87">
            <w:pPr>
              <w:autoSpaceDE w:val="0"/>
              <w:autoSpaceDN w:val="0"/>
              <w:adjustRightInd w:val="0"/>
              <w:snapToGrid w:val="0"/>
              <w:spacing w:line="240" w:lineRule="auto"/>
              <w:jc w:val="center"/>
              <w:rPr>
                <w:noProof w:val="0"/>
                <w:color w:val="auto"/>
              </w:rPr>
            </w:pPr>
          </w:p>
        </w:tc>
      </w:tr>
      <w:tr w:rsidR="00162B16" w:rsidRPr="00162B16" w14:paraId="2BB3C364" w14:textId="77777777" w:rsidTr="00C61A87">
        <w:trPr>
          <w:jc w:val="center"/>
        </w:trPr>
        <w:tc>
          <w:tcPr>
            <w:tcW w:w="3997" w:type="dxa"/>
            <w:shd w:val="clear" w:color="auto" w:fill="auto"/>
            <w:vAlign w:val="center"/>
            <w:hideMark/>
          </w:tcPr>
          <w:p w14:paraId="3A5E12ED"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Education</w:t>
            </w:r>
          </w:p>
        </w:tc>
        <w:tc>
          <w:tcPr>
            <w:tcW w:w="1390" w:type="dxa"/>
            <w:shd w:val="clear" w:color="auto" w:fill="auto"/>
            <w:vAlign w:val="center"/>
          </w:tcPr>
          <w:p w14:paraId="4608DD4C"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265" w:type="dxa"/>
            <w:shd w:val="clear" w:color="auto" w:fill="auto"/>
            <w:vAlign w:val="center"/>
          </w:tcPr>
          <w:p w14:paraId="5D1E8639"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557" w:type="dxa"/>
            <w:shd w:val="clear" w:color="auto" w:fill="auto"/>
            <w:vAlign w:val="center"/>
          </w:tcPr>
          <w:p w14:paraId="77101BD6"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877" w:type="dxa"/>
            <w:shd w:val="clear" w:color="auto" w:fill="auto"/>
            <w:vAlign w:val="center"/>
          </w:tcPr>
          <w:p w14:paraId="4008C67F" w14:textId="77777777" w:rsidR="00343B0B" w:rsidRPr="00162B16" w:rsidRDefault="00343B0B" w:rsidP="00C61A87">
            <w:pPr>
              <w:autoSpaceDE w:val="0"/>
              <w:autoSpaceDN w:val="0"/>
              <w:adjustRightInd w:val="0"/>
              <w:snapToGrid w:val="0"/>
              <w:spacing w:line="240" w:lineRule="auto"/>
              <w:jc w:val="center"/>
              <w:rPr>
                <w:noProof w:val="0"/>
                <w:color w:val="auto"/>
              </w:rPr>
            </w:pPr>
          </w:p>
        </w:tc>
      </w:tr>
      <w:tr w:rsidR="00162B16" w:rsidRPr="00162B16" w14:paraId="08A15DB7" w14:textId="77777777" w:rsidTr="00C61A87">
        <w:trPr>
          <w:jc w:val="center"/>
        </w:trPr>
        <w:tc>
          <w:tcPr>
            <w:tcW w:w="3997" w:type="dxa"/>
            <w:shd w:val="clear" w:color="auto" w:fill="auto"/>
            <w:vAlign w:val="center"/>
            <w:hideMark/>
          </w:tcPr>
          <w:p w14:paraId="2A5B9138"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No school + special schools</w:t>
            </w:r>
          </w:p>
        </w:tc>
        <w:tc>
          <w:tcPr>
            <w:tcW w:w="1390" w:type="dxa"/>
            <w:shd w:val="clear" w:color="auto" w:fill="auto"/>
            <w:vAlign w:val="center"/>
            <w:hideMark/>
          </w:tcPr>
          <w:p w14:paraId="15DEEC89"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82 (5.6) </w:t>
            </w:r>
            <w:r w:rsidRPr="00162B16">
              <w:rPr>
                <w:noProof w:val="0"/>
                <w:color w:val="auto"/>
                <w:vertAlign w:val="superscript"/>
              </w:rPr>
              <w:t>a</w:t>
            </w:r>
          </w:p>
        </w:tc>
        <w:tc>
          <w:tcPr>
            <w:tcW w:w="1265" w:type="dxa"/>
            <w:shd w:val="clear" w:color="auto" w:fill="auto"/>
            <w:vAlign w:val="center"/>
            <w:hideMark/>
          </w:tcPr>
          <w:p w14:paraId="2424F96C"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30 (2.1) </w:t>
            </w:r>
            <w:r w:rsidRPr="00162B16">
              <w:rPr>
                <w:noProof w:val="0"/>
                <w:color w:val="auto"/>
                <w:vertAlign w:val="superscript"/>
              </w:rPr>
              <w:t>b</w:t>
            </w:r>
          </w:p>
        </w:tc>
        <w:tc>
          <w:tcPr>
            <w:tcW w:w="1557" w:type="dxa"/>
            <w:shd w:val="clear" w:color="auto" w:fill="auto"/>
            <w:vAlign w:val="center"/>
            <w:hideMark/>
          </w:tcPr>
          <w:p w14:paraId="398159CF"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13 (0.7) </w:t>
            </w:r>
            <w:r w:rsidRPr="00162B16">
              <w:rPr>
                <w:noProof w:val="0"/>
                <w:color w:val="auto"/>
                <w:vertAlign w:val="superscript"/>
              </w:rPr>
              <w:t>c</w:t>
            </w:r>
          </w:p>
        </w:tc>
        <w:tc>
          <w:tcPr>
            <w:tcW w:w="877" w:type="dxa"/>
            <w:vMerge w:val="restart"/>
            <w:shd w:val="clear" w:color="auto" w:fill="auto"/>
            <w:vAlign w:val="center"/>
            <w:hideMark/>
          </w:tcPr>
          <w:p w14:paraId="325F2F2B"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&lt;0.001*</w:t>
            </w:r>
          </w:p>
        </w:tc>
      </w:tr>
      <w:tr w:rsidR="00162B16" w:rsidRPr="00162B16" w14:paraId="6CD3A039" w14:textId="77777777" w:rsidTr="00C61A87">
        <w:trPr>
          <w:jc w:val="center"/>
        </w:trPr>
        <w:tc>
          <w:tcPr>
            <w:tcW w:w="3997" w:type="dxa"/>
            <w:shd w:val="clear" w:color="auto" w:fill="auto"/>
            <w:vAlign w:val="center"/>
            <w:hideMark/>
          </w:tcPr>
          <w:p w14:paraId="3194E7D5"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Primary</w:t>
            </w:r>
          </w:p>
        </w:tc>
        <w:tc>
          <w:tcPr>
            <w:tcW w:w="1390" w:type="dxa"/>
            <w:shd w:val="clear" w:color="auto" w:fill="auto"/>
            <w:vAlign w:val="center"/>
            <w:hideMark/>
          </w:tcPr>
          <w:p w14:paraId="388EB29E"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789 (53.5) </w:t>
            </w:r>
            <w:r w:rsidRPr="00162B16">
              <w:rPr>
                <w:noProof w:val="0"/>
                <w:color w:val="auto"/>
                <w:vertAlign w:val="superscript"/>
              </w:rPr>
              <w:t>b</w:t>
            </w:r>
          </w:p>
        </w:tc>
        <w:tc>
          <w:tcPr>
            <w:tcW w:w="1265" w:type="dxa"/>
            <w:shd w:val="clear" w:color="auto" w:fill="auto"/>
            <w:vAlign w:val="center"/>
            <w:hideMark/>
          </w:tcPr>
          <w:p w14:paraId="556721E0"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604 (43.2) </w:t>
            </w:r>
            <w:r w:rsidRPr="00162B16">
              <w:rPr>
                <w:noProof w:val="0"/>
                <w:color w:val="auto"/>
                <w:vertAlign w:val="superscript"/>
              </w:rPr>
              <w:t>b</w:t>
            </w:r>
          </w:p>
        </w:tc>
        <w:tc>
          <w:tcPr>
            <w:tcW w:w="1557" w:type="dxa"/>
            <w:shd w:val="clear" w:color="auto" w:fill="auto"/>
            <w:vAlign w:val="center"/>
            <w:hideMark/>
          </w:tcPr>
          <w:p w14:paraId="708B7D57"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626 (34.6) </w:t>
            </w:r>
            <w:r w:rsidRPr="00162B16">
              <w:rPr>
                <w:noProof w:val="0"/>
                <w:color w:val="auto"/>
                <w:vertAlign w:val="superscript"/>
              </w:rPr>
              <w:t>c</w:t>
            </w:r>
          </w:p>
        </w:tc>
        <w:tc>
          <w:tcPr>
            <w:tcW w:w="877" w:type="dxa"/>
            <w:vMerge/>
            <w:shd w:val="clear" w:color="auto" w:fill="auto"/>
            <w:vAlign w:val="center"/>
            <w:hideMark/>
          </w:tcPr>
          <w:p w14:paraId="3254732F" w14:textId="77777777" w:rsidR="00343B0B" w:rsidRPr="00162B16" w:rsidRDefault="00343B0B" w:rsidP="00C61A87">
            <w:pPr>
              <w:autoSpaceDE w:val="0"/>
              <w:autoSpaceDN w:val="0"/>
              <w:adjustRightInd w:val="0"/>
              <w:snapToGrid w:val="0"/>
              <w:spacing w:line="240" w:lineRule="auto"/>
              <w:jc w:val="center"/>
              <w:rPr>
                <w:noProof w:val="0"/>
                <w:color w:val="auto"/>
                <w:lang w:eastAsia="en-US"/>
              </w:rPr>
            </w:pPr>
          </w:p>
        </w:tc>
      </w:tr>
      <w:tr w:rsidR="00162B16" w:rsidRPr="00162B16" w14:paraId="1D5E689D" w14:textId="77777777" w:rsidTr="00C61A87">
        <w:trPr>
          <w:jc w:val="center"/>
        </w:trPr>
        <w:tc>
          <w:tcPr>
            <w:tcW w:w="3997" w:type="dxa"/>
            <w:shd w:val="clear" w:color="auto" w:fill="auto"/>
            <w:vAlign w:val="center"/>
            <w:hideMark/>
          </w:tcPr>
          <w:p w14:paraId="0DB695DC"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Secondary</w:t>
            </w:r>
          </w:p>
        </w:tc>
        <w:tc>
          <w:tcPr>
            <w:tcW w:w="1390" w:type="dxa"/>
            <w:shd w:val="clear" w:color="auto" w:fill="auto"/>
            <w:vAlign w:val="center"/>
            <w:hideMark/>
          </w:tcPr>
          <w:p w14:paraId="309FC2CF"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519 (35.2) </w:t>
            </w:r>
            <w:r w:rsidRPr="00162B16">
              <w:rPr>
                <w:noProof w:val="0"/>
                <w:color w:val="auto"/>
                <w:vertAlign w:val="superscript"/>
              </w:rPr>
              <w:t>c</w:t>
            </w:r>
          </w:p>
        </w:tc>
        <w:tc>
          <w:tcPr>
            <w:tcW w:w="1265" w:type="dxa"/>
            <w:shd w:val="clear" w:color="auto" w:fill="auto"/>
            <w:vAlign w:val="center"/>
            <w:hideMark/>
          </w:tcPr>
          <w:p w14:paraId="7C014747"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647 (46.2) </w:t>
            </w:r>
            <w:r w:rsidRPr="00162B16">
              <w:rPr>
                <w:noProof w:val="0"/>
                <w:color w:val="auto"/>
                <w:vertAlign w:val="superscript"/>
              </w:rPr>
              <w:t>b</w:t>
            </w:r>
          </w:p>
        </w:tc>
        <w:tc>
          <w:tcPr>
            <w:tcW w:w="1557" w:type="dxa"/>
            <w:shd w:val="clear" w:color="auto" w:fill="auto"/>
            <w:vAlign w:val="center"/>
            <w:hideMark/>
          </w:tcPr>
          <w:p w14:paraId="581864F4"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1010 (55.9) </w:t>
            </w:r>
            <w:r w:rsidRPr="00162B16">
              <w:rPr>
                <w:noProof w:val="0"/>
                <w:color w:val="auto"/>
                <w:vertAlign w:val="superscript"/>
              </w:rPr>
              <w:t>c</w:t>
            </w:r>
          </w:p>
        </w:tc>
        <w:tc>
          <w:tcPr>
            <w:tcW w:w="877" w:type="dxa"/>
            <w:vMerge/>
            <w:shd w:val="clear" w:color="auto" w:fill="auto"/>
            <w:vAlign w:val="center"/>
            <w:hideMark/>
          </w:tcPr>
          <w:p w14:paraId="3AE5CFB7" w14:textId="77777777" w:rsidR="00343B0B" w:rsidRPr="00162B16" w:rsidRDefault="00343B0B" w:rsidP="00C61A87">
            <w:pPr>
              <w:autoSpaceDE w:val="0"/>
              <w:autoSpaceDN w:val="0"/>
              <w:adjustRightInd w:val="0"/>
              <w:snapToGrid w:val="0"/>
              <w:spacing w:line="240" w:lineRule="auto"/>
              <w:jc w:val="center"/>
              <w:rPr>
                <w:noProof w:val="0"/>
                <w:color w:val="auto"/>
                <w:lang w:eastAsia="en-US"/>
              </w:rPr>
            </w:pPr>
          </w:p>
        </w:tc>
      </w:tr>
      <w:tr w:rsidR="00162B16" w:rsidRPr="00162B16" w14:paraId="75261ECE" w14:textId="77777777" w:rsidTr="00C61A87">
        <w:trPr>
          <w:jc w:val="center"/>
        </w:trPr>
        <w:tc>
          <w:tcPr>
            <w:tcW w:w="3997" w:type="dxa"/>
            <w:shd w:val="clear" w:color="auto" w:fill="auto"/>
            <w:vAlign w:val="center"/>
            <w:hideMark/>
          </w:tcPr>
          <w:p w14:paraId="49E00D4D"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Tertiary</w:t>
            </w:r>
          </w:p>
        </w:tc>
        <w:tc>
          <w:tcPr>
            <w:tcW w:w="1390" w:type="dxa"/>
            <w:shd w:val="clear" w:color="auto" w:fill="auto"/>
            <w:vAlign w:val="center"/>
            <w:hideMark/>
          </w:tcPr>
          <w:p w14:paraId="336B1AA4" w14:textId="77777777" w:rsidR="00343B0B" w:rsidRPr="00162B16" w:rsidRDefault="00343B0B" w:rsidP="00C61A87">
            <w:pPr>
              <w:autoSpaceDE w:val="0"/>
              <w:autoSpaceDN w:val="0"/>
              <w:adjustRightInd w:val="0"/>
              <w:snapToGrid w:val="0"/>
              <w:spacing w:line="240" w:lineRule="auto"/>
              <w:jc w:val="center"/>
              <w:rPr>
                <w:rFonts w:cstheme="minorBidi"/>
                <w:noProof w:val="0"/>
                <w:color w:val="auto"/>
              </w:rPr>
            </w:pPr>
            <w:r w:rsidRPr="00162B16">
              <w:rPr>
                <w:noProof w:val="0"/>
                <w:color w:val="auto"/>
              </w:rPr>
              <w:t xml:space="preserve">84 (5.7) </w:t>
            </w:r>
            <w:r w:rsidRPr="00162B16">
              <w:rPr>
                <w:noProof w:val="0"/>
                <w:color w:val="auto"/>
                <w:vertAlign w:val="superscript"/>
              </w:rPr>
              <w:t>a</w:t>
            </w:r>
          </w:p>
        </w:tc>
        <w:tc>
          <w:tcPr>
            <w:tcW w:w="1265" w:type="dxa"/>
            <w:shd w:val="clear" w:color="auto" w:fill="auto"/>
            <w:vAlign w:val="center"/>
            <w:hideMark/>
          </w:tcPr>
          <w:p w14:paraId="2EE9CCFC"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118 (8.4) </w:t>
            </w:r>
            <w:r w:rsidRPr="00162B16">
              <w:rPr>
                <w:noProof w:val="0"/>
                <w:color w:val="auto"/>
                <w:vertAlign w:val="superscript"/>
              </w:rPr>
              <w:t>b</w:t>
            </w:r>
          </w:p>
        </w:tc>
        <w:tc>
          <w:tcPr>
            <w:tcW w:w="1557" w:type="dxa"/>
            <w:shd w:val="clear" w:color="auto" w:fill="auto"/>
            <w:vAlign w:val="center"/>
            <w:hideMark/>
          </w:tcPr>
          <w:p w14:paraId="5A69BD5B"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159 (8.8) </w:t>
            </w:r>
            <w:r w:rsidRPr="00162B16">
              <w:rPr>
                <w:noProof w:val="0"/>
                <w:color w:val="auto"/>
                <w:vertAlign w:val="superscript"/>
              </w:rPr>
              <w:t>b</w:t>
            </w:r>
          </w:p>
        </w:tc>
        <w:tc>
          <w:tcPr>
            <w:tcW w:w="877" w:type="dxa"/>
            <w:vMerge/>
            <w:shd w:val="clear" w:color="auto" w:fill="auto"/>
            <w:vAlign w:val="center"/>
            <w:hideMark/>
          </w:tcPr>
          <w:p w14:paraId="259235C9" w14:textId="77777777" w:rsidR="00343B0B" w:rsidRPr="00162B16" w:rsidRDefault="00343B0B" w:rsidP="00C61A87">
            <w:pPr>
              <w:autoSpaceDE w:val="0"/>
              <w:autoSpaceDN w:val="0"/>
              <w:adjustRightInd w:val="0"/>
              <w:snapToGrid w:val="0"/>
              <w:spacing w:line="240" w:lineRule="auto"/>
              <w:jc w:val="center"/>
              <w:rPr>
                <w:noProof w:val="0"/>
                <w:color w:val="auto"/>
                <w:lang w:eastAsia="en-US"/>
              </w:rPr>
            </w:pPr>
          </w:p>
        </w:tc>
      </w:tr>
      <w:tr w:rsidR="00162B16" w:rsidRPr="00162B16" w14:paraId="013B4E58" w14:textId="77777777" w:rsidTr="00C61A87">
        <w:trPr>
          <w:jc w:val="center"/>
        </w:trPr>
        <w:tc>
          <w:tcPr>
            <w:tcW w:w="3997" w:type="dxa"/>
            <w:shd w:val="clear" w:color="auto" w:fill="auto"/>
            <w:vAlign w:val="center"/>
          </w:tcPr>
          <w:p w14:paraId="5278CD48"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390" w:type="dxa"/>
            <w:shd w:val="clear" w:color="auto" w:fill="auto"/>
            <w:vAlign w:val="center"/>
          </w:tcPr>
          <w:p w14:paraId="7F681426"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265" w:type="dxa"/>
            <w:shd w:val="clear" w:color="auto" w:fill="auto"/>
            <w:vAlign w:val="center"/>
          </w:tcPr>
          <w:p w14:paraId="56DA0391"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557" w:type="dxa"/>
            <w:shd w:val="clear" w:color="auto" w:fill="auto"/>
            <w:vAlign w:val="center"/>
          </w:tcPr>
          <w:p w14:paraId="04C7C4FF"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877" w:type="dxa"/>
            <w:shd w:val="clear" w:color="auto" w:fill="auto"/>
            <w:vAlign w:val="center"/>
          </w:tcPr>
          <w:p w14:paraId="7EDD0CA7" w14:textId="77777777" w:rsidR="00343B0B" w:rsidRPr="00162B16" w:rsidRDefault="00343B0B" w:rsidP="00C61A87">
            <w:pPr>
              <w:autoSpaceDE w:val="0"/>
              <w:autoSpaceDN w:val="0"/>
              <w:adjustRightInd w:val="0"/>
              <w:snapToGrid w:val="0"/>
              <w:spacing w:line="240" w:lineRule="auto"/>
              <w:jc w:val="center"/>
              <w:rPr>
                <w:noProof w:val="0"/>
                <w:color w:val="auto"/>
              </w:rPr>
            </w:pPr>
          </w:p>
        </w:tc>
      </w:tr>
      <w:tr w:rsidR="00162B16" w:rsidRPr="00162B16" w14:paraId="219C67A2" w14:textId="77777777" w:rsidTr="00C61A87">
        <w:trPr>
          <w:jc w:val="center"/>
        </w:trPr>
        <w:tc>
          <w:tcPr>
            <w:tcW w:w="3997" w:type="dxa"/>
            <w:shd w:val="clear" w:color="auto" w:fill="auto"/>
            <w:vAlign w:val="center"/>
            <w:hideMark/>
          </w:tcPr>
          <w:p w14:paraId="5B393A31"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Mean self-reported chronic illness</w:t>
            </w:r>
          </w:p>
        </w:tc>
        <w:tc>
          <w:tcPr>
            <w:tcW w:w="1390" w:type="dxa"/>
            <w:shd w:val="clear" w:color="auto" w:fill="auto"/>
            <w:vAlign w:val="center"/>
            <w:hideMark/>
          </w:tcPr>
          <w:p w14:paraId="3D7A5ACB"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3 </w:t>
            </w:r>
          </w:p>
        </w:tc>
        <w:tc>
          <w:tcPr>
            <w:tcW w:w="1265" w:type="dxa"/>
            <w:shd w:val="clear" w:color="auto" w:fill="auto"/>
            <w:vAlign w:val="center"/>
            <w:hideMark/>
          </w:tcPr>
          <w:p w14:paraId="19F9FFC1"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2 </w:t>
            </w:r>
          </w:p>
        </w:tc>
        <w:tc>
          <w:tcPr>
            <w:tcW w:w="1557" w:type="dxa"/>
            <w:shd w:val="clear" w:color="auto" w:fill="auto"/>
            <w:vAlign w:val="center"/>
            <w:hideMark/>
          </w:tcPr>
          <w:p w14:paraId="26D55912"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2 </w:t>
            </w:r>
          </w:p>
        </w:tc>
        <w:tc>
          <w:tcPr>
            <w:tcW w:w="877" w:type="dxa"/>
            <w:shd w:val="clear" w:color="auto" w:fill="auto"/>
            <w:vAlign w:val="center"/>
            <w:hideMark/>
          </w:tcPr>
          <w:p w14:paraId="61C6C5BA"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&lt;0.001*</w:t>
            </w:r>
          </w:p>
        </w:tc>
      </w:tr>
      <w:tr w:rsidR="00162B16" w:rsidRPr="00162B16" w14:paraId="46B558BD" w14:textId="77777777" w:rsidTr="00C61A87">
        <w:trPr>
          <w:jc w:val="center"/>
        </w:trPr>
        <w:tc>
          <w:tcPr>
            <w:tcW w:w="3997" w:type="dxa"/>
            <w:shd w:val="clear" w:color="auto" w:fill="auto"/>
            <w:vAlign w:val="center"/>
          </w:tcPr>
          <w:p w14:paraId="08407D62"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390" w:type="dxa"/>
            <w:shd w:val="clear" w:color="auto" w:fill="auto"/>
            <w:vAlign w:val="center"/>
          </w:tcPr>
          <w:p w14:paraId="2D16CFAD"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265" w:type="dxa"/>
            <w:shd w:val="clear" w:color="auto" w:fill="auto"/>
            <w:vAlign w:val="center"/>
          </w:tcPr>
          <w:p w14:paraId="5F29E6BA"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557" w:type="dxa"/>
            <w:shd w:val="clear" w:color="auto" w:fill="auto"/>
            <w:vAlign w:val="center"/>
          </w:tcPr>
          <w:p w14:paraId="65856754"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877" w:type="dxa"/>
            <w:shd w:val="clear" w:color="auto" w:fill="auto"/>
            <w:vAlign w:val="center"/>
          </w:tcPr>
          <w:p w14:paraId="49D9E1B9" w14:textId="77777777" w:rsidR="00343B0B" w:rsidRPr="00162B16" w:rsidRDefault="00343B0B" w:rsidP="00C61A87">
            <w:pPr>
              <w:autoSpaceDE w:val="0"/>
              <w:autoSpaceDN w:val="0"/>
              <w:adjustRightInd w:val="0"/>
              <w:snapToGrid w:val="0"/>
              <w:spacing w:line="240" w:lineRule="auto"/>
              <w:jc w:val="center"/>
              <w:rPr>
                <w:noProof w:val="0"/>
                <w:color w:val="auto"/>
              </w:rPr>
            </w:pPr>
          </w:p>
        </w:tc>
      </w:tr>
      <w:tr w:rsidR="00162B16" w:rsidRPr="00162B16" w14:paraId="5034AB7C" w14:textId="77777777" w:rsidTr="00C61A87">
        <w:trPr>
          <w:jc w:val="center"/>
        </w:trPr>
        <w:tc>
          <w:tcPr>
            <w:tcW w:w="3997" w:type="dxa"/>
            <w:shd w:val="clear" w:color="auto" w:fill="auto"/>
            <w:vAlign w:val="center"/>
            <w:hideMark/>
          </w:tcPr>
          <w:p w14:paraId="361A1F08"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Long standing illness (yes)</w:t>
            </w:r>
          </w:p>
        </w:tc>
        <w:tc>
          <w:tcPr>
            <w:tcW w:w="1390" w:type="dxa"/>
            <w:shd w:val="clear" w:color="auto" w:fill="auto"/>
            <w:vAlign w:val="center"/>
            <w:hideMark/>
          </w:tcPr>
          <w:p w14:paraId="23253D9D"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553 (37.6) </w:t>
            </w:r>
            <w:r w:rsidRPr="00162B16">
              <w:rPr>
                <w:noProof w:val="0"/>
                <w:color w:val="auto"/>
                <w:vertAlign w:val="superscript"/>
              </w:rPr>
              <w:t>a</w:t>
            </w:r>
          </w:p>
        </w:tc>
        <w:tc>
          <w:tcPr>
            <w:tcW w:w="1265" w:type="dxa"/>
            <w:shd w:val="clear" w:color="auto" w:fill="auto"/>
            <w:vAlign w:val="center"/>
            <w:hideMark/>
          </w:tcPr>
          <w:p w14:paraId="66B9835A"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686 (49.5) </w:t>
            </w:r>
            <w:r w:rsidRPr="00162B16">
              <w:rPr>
                <w:noProof w:val="0"/>
                <w:color w:val="auto"/>
                <w:vertAlign w:val="superscript"/>
              </w:rPr>
              <w:t>b</w:t>
            </w:r>
          </w:p>
        </w:tc>
        <w:tc>
          <w:tcPr>
            <w:tcW w:w="1557" w:type="dxa"/>
            <w:shd w:val="clear" w:color="auto" w:fill="auto"/>
            <w:vAlign w:val="center"/>
            <w:hideMark/>
          </w:tcPr>
          <w:p w14:paraId="75F1134C"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911 (50.4) </w:t>
            </w:r>
            <w:r w:rsidRPr="00162B16">
              <w:rPr>
                <w:noProof w:val="0"/>
                <w:color w:val="auto"/>
                <w:vertAlign w:val="superscript"/>
              </w:rPr>
              <w:t>b</w:t>
            </w:r>
          </w:p>
        </w:tc>
        <w:tc>
          <w:tcPr>
            <w:tcW w:w="877" w:type="dxa"/>
            <w:shd w:val="clear" w:color="auto" w:fill="auto"/>
            <w:vAlign w:val="center"/>
            <w:hideMark/>
          </w:tcPr>
          <w:p w14:paraId="3C7E3143"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&lt;0.001*</w:t>
            </w:r>
          </w:p>
        </w:tc>
      </w:tr>
      <w:tr w:rsidR="00162B16" w:rsidRPr="00162B16" w14:paraId="7BAAA9FF" w14:textId="77777777" w:rsidTr="00C61A87">
        <w:trPr>
          <w:jc w:val="center"/>
        </w:trPr>
        <w:tc>
          <w:tcPr>
            <w:tcW w:w="3997" w:type="dxa"/>
            <w:shd w:val="clear" w:color="auto" w:fill="auto"/>
            <w:vAlign w:val="center"/>
          </w:tcPr>
          <w:p w14:paraId="0FA38D37"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390" w:type="dxa"/>
            <w:shd w:val="clear" w:color="auto" w:fill="auto"/>
            <w:vAlign w:val="center"/>
          </w:tcPr>
          <w:p w14:paraId="106D304E" w14:textId="77777777" w:rsidR="00343B0B" w:rsidRPr="00162B16" w:rsidRDefault="00343B0B" w:rsidP="00C61A87">
            <w:pPr>
              <w:autoSpaceDE w:val="0"/>
              <w:autoSpaceDN w:val="0"/>
              <w:adjustRightInd w:val="0"/>
              <w:snapToGrid w:val="0"/>
              <w:spacing w:line="240" w:lineRule="auto"/>
              <w:jc w:val="center"/>
              <w:rPr>
                <w:rFonts w:cstheme="minorBidi"/>
                <w:noProof w:val="0"/>
                <w:color w:val="auto"/>
              </w:rPr>
            </w:pPr>
          </w:p>
        </w:tc>
        <w:tc>
          <w:tcPr>
            <w:tcW w:w="1265" w:type="dxa"/>
            <w:shd w:val="clear" w:color="auto" w:fill="auto"/>
            <w:vAlign w:val="center"/>
          </w:tcPr>
          <w:p w14:paraId="47E2D217"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557" w:type="dxa"/>
            <w:shd w:val="clear" w:color="auto" w:fill="auto"/>
            <w:vAlign w:val="center"/>
          </w:tcPr>
          <w:p w14:paraId="63A28735"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877" w:type="dxa"/>
            <w:shd w:val="clear" w:color="auto" w:fill="auto"/>
            <w:vAlign w:val="center"/>
          </w:tcPr>
          <w:p w14:paraId="6D29E7B3" w14:textId="77777777" w:rsidR="00343B0B" w:rsidRPr="00162B16" w:rsidRDefault="00343B0B" w:rsidP="00C61A87">
            <w:pPr>
              <w:autoSpaceDE w:val="0"/>
              <w:autoSpaceDN w:val="0"/>
              <w:adjustRightInd w:val="0"/>
              <w:snapToGrid w:val="0"/>
              <w:spacing w:line="240" w:lineRule="auto"/>
              <w:jc w:val="center"/>
              <w:rPr>
                <w:noProof w:val="0"/>
                <w:color w:val="auto"/>
              </w:rPr>
            </w:pPr>
          </w:p>
        </w:tc>
      </w:tr>
      <w:tr w:rsidR="00162B16" w:rsidRPr="00162B16" w14:paraId="51DAFC94" w14:textId="77777777" w:rsidTr="00C61A87">
        <w:trPr>
          <w:jc w:val="center"/>
        </w:trPr>
        <w:tc>
          <w:tcPr>
            <w:tcW w:w="3997" w:type="dxa"/>
            <w:shd w:val="clear" w:color="auto" w:fill="auto"/>
            <w:vAlign w:val="center"/>
            <w:hideMark/>
          </w:tcPr>
          <w:p w14:paraId="5D489219"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Activity limitation (no)</w:t>
            </w:r>
          </w:p>
        </w:tc>
        <w:tc>
          <w:tcPr>
            <w:tcW w:w="1390" w:type="dxa"/>
            <w:shd w:val="clear" w:color="auto" w:fill="auto"/>
            <w:vAlign w:val="center"/>
            <w:hideMark/>
          </w:tcPr>
          <w:p w14:paraId="4419A9AA"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1324 (89.5) </w:t>
            </w:r>
            <w:r w:rsidRPr="00162B16">
              <w:rPr>
                <w:noProof w:val="0"/>
                <w:color w:val="auto"/>
                <w:vertAlign w:val="superscript"/>
              </w:rPr>
              <w:t>a</w:t>
            </w:r>
          </w:p>
        </w:tc>
        <w:tc>
          <w:tcPr>
            <w:tcW w:w="1265" w:type="dxa"/>
            <w:shd w:val="clear" w:color="auto" w:fill="auto"/>
            <w:vAlign w:val="center"/>
            <w:hideMark/>
          </w:tcPr>
          <w:p w14:paraId="278EBDC5"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949 (67.8) </w:t>
            </w:r>
            <w:r w:rsidRPr="00162B16">
              <w:rPr>
                <w:noProof w:val="0"/>
                <w:color w:val="auto"/>
                <w:vertAlign w:val="superscript"/>
              </w:rPr>
              <w:t>b</w:t>
            </w:r>
          </w:p>
        </w:tc>
        <w:tc>
          <w:tcPr>
            <w:tcW w:w="1557" w:type="dxa"/>
            <w:shd w:val="clear" w:color="auto" w:fill="auto"/>
            <w:vAlign w:val="center"/>
            <w:hideMark/>
          </w:tcPr>
          <w:p w14:paraId="2A12EE55"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1664 (92) </w:t>
            </w:r>
            <w:r w:rsidRPr="00162B16">
              <w:rPr>
                <w:noProof w:val="0"/>
                <w:color w:val="auto"/>
                <w:vertAlign w:val="superscript"/>
              </w:rPr>
              <w:t>c</w:t>
            </w:r>
          </w:p>
        </w:tc>
        <w:tc>
          <w:tcPr>
            <w:tcW w:w="877" w:type="dxa"/>
            <w:shd w:val="clear" w:color="auto" w:fill="auto"/>
            <w:vAlign w:val="center"/>
            <w:hideMark/>
          </w:tcPr>
          <w:p w14:paraId="334DFC76"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&lt;0.001*</w:t>
            </w:r>
          </w:p>
        </w:tc>
      </w:tr>
      <w:tr w:rsidR="00162B16" w:rsidRPr="00162B16" w14:paraId="58FD4C0E" w14:textId="77777777" w:rsidTr="00C61A87">
        <w:trPr>
          <w:jc w:val="center"/>
        </w:trPr>
        <w:tc>
          <w:tcPr>
            <w:tcW w:w="3997" w:type="dxa"/>
            <w:shd w:val="clear" w:color="auto" w:fill="auto"/>
            <w:vAlign w:val="center"/>
          </w:tcPr>
          <w:p w14:paraId="59189F11"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390" w:type="dxa"/>
            <w:shd w:val="clear" w:color="auto" w:fill="auto"/>
            <w:vAlign w:val="center"/>
          </w:tcPr>
          <w:p w14:paraId="209B3F32" w14:textId="77777777" w:rsidR="00343B0B" w:rsidRPr="00162B16" w:rsidRDefault="00343B0B" w:rsidP="00C61A87">
            <w:pPr>
              <w:autoSpaceDE w:val="0"/>
              <w:autoSpaceDN w:val="0"/>
              <w:adjustRightInd w:val="0"/>
              <w:snapToGrid w:val="0"/>
              <w:spacing w:line="240" w:lineRule="auto"/>
              <w:jc w:val="center"/>
              <w:rPr>
                <w:rFonts w:cstheme="minorBidi"/>
                <w:noProof w:val="0"/>
                <w:color w:val="auto"/>
              </w:rPr>
            </w:pPr>
          </w:p>
        </w:tc>
        <w:tc>
          <w:tcPr>
            <w:tcW w:w="1265" w:type="dxa"/>
            <w:shd w:val="clear" w:color="auto" w:fill="auto"/>
            <w:vAlign w:val="center"/>
          </w:tcPr>
          <w:p w14:paraId="7ED429D7"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557" w:type="dxa"/>
            <w:shd w:val="clear" w:color="auto" w:fill="auto"/>
            <w:vAlign w:val="center"/>
          </w:tcPr>
          <w:p w14:paraId="2C5624A7"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877" w:type="dxa"/>
            <w:shd w:val="clear" w:color="auto" w:fill="auto"/>
            <w:vAlign w:val="center"/>
          </w:tcPr>
          <w:p w14:paraId="7FC8E4C5" w14:textId="77777777" w:rsidR="00343B0B" w:rsidRPr="00162B16" w:rsidRDefault="00343B0B" w:rsidP="00C61A87">
            <w:pPr>
              <w:autoSpaceDE w:val="0"/>
              <w:autoSpaceDN w:val="0"/>
              <w:adjustRightInd w:val="0"/>
              <w:snapToGrid w:val="0"/>
              <w:spacing w:line="240" w:lineRule="auto"/>
              <w:jc w:val="center"/>
              <w:rPr>
                <w:noProof w:val="0"/>
                <w:color w:val="auto"/>
              </w:rPr>
            </w:pPr>
          </w:p>
        </w:tc>
      </w:tr>
      <w:tr w:rsidR="00162B16" w:rsidRPr="00162B16" w14:paraId="59048038" w14:textId="77777777" w:rsidTr="00C61A87">
        <w:trPr>
          <w:jc w:val="center"/>
        </w:trPr>
        <w:tc>
          <w:tcPr>
            <w:tcW w:w="3997" w:type="dxa"/>
            <w:shd w:val="clear" w:color="auto" w:fill="auto"/>
            <w:vAlign w:val="center"/>
            <w:hideMark/>
          </w:tcPr>
          <w:p w14:paraId="085BA3E9"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PA behavior</w:t>
            </w:r>
          </w:p>
        </w:tc>
        <w:tc>
          <w:tcPr>
            <w:tcW w:w="1390" w:type="dxa"/>
            <w:shd w:val="clear" w:color="auto" w:fill="auto"/>
            <w:vAlign w:val="center"/>
          </w:tcPr>
          <w:p w14:paraId="3EABC78F" w14:textId="77777777" w:rsidR="00343B0B" w:rsidRPr="00162B16" w:rsidRDefault="00343B0B" w:rsidP="00C61A87">
            <w:pPr>
              <w:autoSpaceDE w:val="0"/>
              <w:autoSpaceDN w:val="0"/>
              <w:adjustRightInd w:val="0"/>
              <w:snapToGrid w:val="0"/>
              <w:spacing w:line="240" w:lineRule="auto"/>
              <w:jc w:val="center"/>
              <w:rPr>
                <w:rFonts w:cstheme="minorBidi"/>
                <w:noProof w:val="0"/>
                <w:color w:val="auto"/>
              </w:rPr>
            </w:pPr>
          </w:p>
        </w:tc>
        <w:tc>
          <w:tcPr>
            <w:tcW w:w="1265" w:type="dxa"/>
            <w:shd w:val="clear" w:color="auto" w:fill="auto"/>
            <w:vAlign w:val="center"/>
          </w:tcPr>
          <w:p w14:paraId="5F138F57"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1557" w:type="dxa"/>
            <w:shd w:val="clear" w:color="auto" w:fill="auto"/>
            <w:vAlign w:val="center"/>
          </w:tcPr>
          <w:p w14:paraId="0C6EE702" w14:textId="77777777" w:rsidR="00343B0B" w:rsidRPr="00162B16" w:rsidRDefault="00343B0B" w:rsidP="00C61A87">
            <w:pPr>
              <w:autoSpaceDE w:val="0"/>
              <w:autoSpaceDN w:val="0"/>
              <w:adjustRightInd w:val="0"/>
              <w:snapToGrid w:val="0"/>
              <w:spacing w:line="240" w:lineRule="auto"/>
              <w:jc w:val="center"/>
              <w:rPr>
                <w:noProof w:val="0"/>
                <w:color w:val="auto"/>
              </w:rPr>
            </w:pPr>
          </w:p>
        </w:tc>
        <w:tc>
          <w:tcPr>
            <w:tcW w:w="877" w:type="dxa"/>
            <w:shd w:val="clear" w:color="auto" w:fill="auto"/>
            <w:vAlign w:val="center"/>
          </w:tcPr>
          <w:p w14:paraId="15A0E882" w14:textId="77777777" w:rsidR="00343B0B" w:rsidRPr="00162B16" w:rsidRDefault="00343B0B" w:rsidP="00C61A87">
            <w:pPr>
              <w:autoSpaceDE w:val="0"/>
              <w:autoSpaceDN w:val="0"/>
              <w:adjustRightInd w:val="0"/>
              <w:snapToGrid w:val="0"/>
              <w:spacing w:line="240" w:lineRule="auto"/>
              <w:jc w:val="center"/>
              <w:rPr>
                <w:noProof w:val="0"/>
                <w:color w:val="auto"/>
              </w:rPr>
            </w:pPr>
          </w:p>
        </w:tc>
      </w:tr>
      <w:tr w:rsidR="00162B16" w:rsidRPr="00162B16" w14:paraId="2889F342" w14:textId="77777777" w:rsidTr="00C61A87">
        <w:trPr>
          <w:jc w:val="center"/>
        </w:trPr>
        <w:tc>
          <w:tcPr>
            <w:tcW w:w="3997" w:type="dxa"/>
            <w:shd w:val="clear" w:color="auto" w:fill="auto"/>
            <w:vAlign w:val="center"/>
            <w:hideMark/>
          </w:tcPr>
          <w:p w14:paraId="1CB7B8A4"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lastRenderedPageBreak/>
              <w:t>Low</w:t>
            </w:r>
          </w:p>
        </w:tc>
        <w:tc>
          <w:tcPr>
            <w:tcW w:w="1390" w:type="dxa"/>
            <w:shd w:val="clear" w:color="auto" w:fill="auto"/>
            <w:vAlign w:val="center"/>
            <w:hideMark/>
          </w:tcPr>
          <w:p w14:paraId="4F332C51" w14:textId="77777777" w:rsidR="00343B0B" w:rsidRPr="00162B16" w:rsidRDefault="00343B0B" w:rsidP="00C61A87">
            <w:pPr>
              <w:autoSpaceDE w:val="0"/>
              <w:autoSpaceDN w:val="0"/>
              <w:adjustRightInd w:val="0"/>
              <w:snapToGrid w:val="0"/>
              <w:spacing w:line="240" w:lineRule="auto"/>
              <w:jc w:val="center"/>
              <w:rPr>
                <w:rFonts w:cstheme="minorBidi"/>
                <w:noProof w:val="0"/>
                <w:color w:val="auto"/>
              </w:rPr>
            </w:pPr>
            <w:r w:rsidRPr="00162B16">
              <w:rPr>
                <w:noProof w:val="0"/>
                <w:color w:val="auto"/>
              </w:rPr>
              <w:t xml:space="preserve">803 (54.3) </w:t>
            </w:r>
            <w:r w:rsidRPr="00162B16">
              <w:rPr>
                <w:noProof w:val="0"/>
                <w:color w:val="auto"/>
                <w:vertAlign w:val="superscript"/>
              </w:rPr>
              <w:t>a</w:t>
            </w:r>
          </w:p>
        </w:tc>
        <w:tc>
          <w:tcPr>
            <w:tcW w:w="1265" w:type="dxa"/>
            <w:shd w:val="clear" w:color="auto" w:fill="auto"/>
            <w:vAlign w:val="center"/>
            <w:hideMark/>
          </w:tcPr>
          <w:p w14:paraId="7937F6DD"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733 (52.4) </w:t>
            </w:r>
            <w:r w:rsidRPr="00162B16">
              <w:rPr>
                <w:noProof w:val="0"/>
                <w:color w:val="auto"/>
                <w:vertAlign w:val="superscript"/>
              </w:rPr>
              <w:t>a</w:t>
            </w:r>
          </w:p>
        </w:tc>
        <w:tc>
          <w:tcPr>
            <w:tcW w:w="1557" w:type="dxa"/>
            <w:shd w:val="clear" w:color="auto" w:fill="auto"/>
            <w:vAlign w:val="center"/>
            <w:hideMark/>
          </w:tcPr>
          <w:p w14:paraId="73067B83"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910 (50.3) </w:t>
            </w:r>
            <w:r w:rsidRPr="00162B16">
              <w:rPr>
                <w:noProof w:val="0"/>
                <w:color w:val="auto"/>
                <w:vertAlign w:val="superscript"/>
              </w:rPr>
              <w:t>a</w:t>
            </w:r>
          </w:p>
        </w:tc>
        <w:tc>
          <w:tcPr>
            <w:tcW w:w="877" w:type="dxa"/>
            <w:vMerge w:val="restart"/>
            <w:tcBorders>
              <w:top w:val="nil"/>
              <w:left w:val="nil"/>
              <w:bottom w:val="single" w:sz="4" w:space="0" w:color="auto"/>
              <w:right w:val="nil"/>
            </w:tcBorders>
            <w:shd w:val="clear" w:color="auto" w:fill="auto"/>
            <w:vAlign w:val="center"/>
            <w:hideMark/>
          </w:tcPr>
          <w:p w14:paraId="5ABD3AE9"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&lt;0.001*</w:t>
            </w:r>
          </w:p>
        </w:tc>
      </w:tr>
      <w:tr w:rsidR="00162B16" w:rsidRPr="00162B16" w14:paraId="7D19F5AA" w14:textId="77777777" w:rsidTr="00C61A87">
        <w:trPr>
          <w:jc w:val="center"/>
        </w:trPr>
        <w:tc>
          <w:tcPr>
            <w:tcW w:w="3997" w:type="dxa"/>
            <w:shd w:val="clear" w:color="auto" w:fill="auto"/>
            <w:vAlign w:val="center"/>
            <w:hideMark/>
          </w:tcPr>
          <w:p w14:paraId="4F45F30F"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Moderate</w:t>
            </w:r>
          </w:p>
        </w:tc>
        <w:tc>
          <w:tcPr>
            <w:tcW w:w="1390" w:type="dxa"/>
            <w:shd w:val="clear" w:color="auto" w:fill="auto"/>
            <w:vAlign w:val="center"/>
            <w:hideMark/>
          </w:tcPr>
          <w:p w14:paraId="498A563F" w14:textId="77777777" w:rsidR="00343B0B" w:rsidRPr="00162B16" w:rsidRDefault="00343B0B" w:rsidP="00C61A87">
            <w:pPr>
              <w:autoSpaceDE w:val="0"/>
              <w:autoSpaceDN w:val="0"/>
              <w:adjustRightInd w:val="0"/>
              <w:snapToGrid w:val="0"/>
              <w:spacing w:line="240" w:lineRule="auto"/>
              <w:jc w:val="center"/>
              <w:rPr>
                <w:rFonts w:cstheme="minorBidi"/>
                <w:noProof w:val="0"/>
                <w:color w:val="auto"/>
              </w:rPr>
            </w:pPr>
            <w:r w:rsidRPr="00162B16">
              <w:rPr>
                <w:noProof w:val="0"/>
                <w:color w:val="auto"/>
              </w:rPr>
              <w:t xml:space="preserve">398 (26.9) </w:t>
            </w:r>
            <w:r w:rsidRPr="00162B16">
              <w:rPr>
                <w:noProof w:val="0"/>
                <w:color w:val="auto"/>
                <w:vertAlign w:val="superscript"/>
              </w:rPr>
              <w:t>a</w:t>
            </w:r>
          </w:p>
        </w:tc>
        <w:tc>
          <w:tcPr>
            <w:tcW w:w="1265" w:type="dxa"/>
            <w:shd w:val="clear" w:color="auto" w:fill="auto"/>
            <w:vAlign w:val="center"/>
            <w:hideMark/>
          </w:tcPr>
          <w:p w14:paraId="5B1B99E2"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480 (34.3) </w:t>
            </w:r>
            <w:r w:rsidRPr="00162B16">
              <w:rPr>
                <w:noProof w:val="0"/>
                <w:color w:val="auto"/>
                <w:vertAlign w:val="superscript"/>
              </w:rPr>
              <w:t>b</w:t>
            </w:r>
          </w:p>
        </w:tc>
        <w:tc>
          <w:tcPr>
            <w:tcW w:w="1557" w:type="dxa"/>
            <w:shd w:val="clear" w:color="auto" w:fill="auto"/>
            <w:vAlign w:val="center"/>
            <w:hideMark/>
          </w:tcPr>
          <w:p w14:paraId="4CEB5BA0"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785 (43.4) </w:t>
            </w:r>
            <w:r w:rsidRPr="00162B16">
              <w:rPr>
                <w:noProof w:val="0"/>
                <w:color w:val="auto"/>
                <w:vertAlign w:val="superscript"/>
              </w:rPr>
              <w:t>c</w:t>
            </w:r>
          </w:p>
        </w:tc>
        <w:tc>
          <w:tcPr>
            <w:tcW w:w="877" w:type="dxa"/>
            <w:vMerge/>
            <w:tcBorders>
              <w:top w:val="nil"/>
              <w:left w:val="nil"/>
              <w:bottom w:val="single" w:sz="4" w:space="0" w:color="auto"/>
              <w:right w:val="nil"/>
            </w:tcBorders>
            <w:shd w:val="clear" w:color="auto" w:fill="auto"/>
            <w:vAlign w:val="center"/>
            <w:hideMark/>
          </w:tcPr>
          <w:p w14:paraId="7C26F1DF" w14:textId="77777777" w:rsidR="00343B0B" w:rsidRPr="00162B16" w:rsidRDefault="00343B0B" w:rsidP="00C61A87">
            <w:pPr>
              <w:autoSpaceDE w:val="0"/>
              <w:autoSpaceDN w:val="0"/>
              <w:adjustRightInd w:val="0"/>
              <w:snapToGrid w:val="0"/>
              <w:spacing w:line="240" w:lineRule="auto"/>
              <w:jc w:val="center"/>
              <w:rPr>
                <w:noProof w:val="0"/>
                <w:color w:val="auto"/>
                <w:lang w:eastAsia="en-US"/>
              </w:rPr>
            </w:pPr>
          </w:p>
        </w:tc>
      </w:tr>
      <w:tr w:rsidR="00162B16" w:rsidRPr="00162B16" w14:paraId="3BE18AA4" w14:textId="77777777" w:rsidTr="006D4870">
        <w:trPr>
          <w:jc w:val="center"/>
        </w:trPr>
        <w:tc>
          <w:tcPr>
            <w:tcW w:w="3997" w:type="dxa"/>
            <w:tcBorders>
              <w:top w:val="nil"/>
              <w:left w:val="nil"/>
              <w:right w:val="nil"/>
            </w:tcBorders>
            <w:shd w:val="clear" w:color="auto" w:fill="auto"/>
            <w:vAlign w:val="center"/>
            <w:hideMark/>
          </w:tcPr>
          <w:p w14:paraId="67F26C1F"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High</w:t>
            </w:r>
          </w:p>
        </w:tc>
        <w:tc>
          <w:tcPr>
            <w:tcW w:w="1390" w:type="dxa"/>
            <w:tcBorders>
              <w:top w:val="nil"/>
              <w:left w:val="nil"/>
              <w:right w:val="nil"/>
            </w:tcBorders>
            <w:shd w:val="clear" w:color="auto" w:fill="auto"/>
            <w:vAlign w:val="center"/>
            <w:hideMark/>
          </w:tcPr>
          <w:p w14:paraId="5A2ADAB8" w14:textId="77777777" w:rsidR="00343B0B" w:rsidRPr="00162B16" w:rsidRDefault="00343B0B" w:rsidP="00C61A87">
            <w:pPr>
              <w:autoSpaceDE w:val="0"/>
              <w:autoSpaceDN w:val="0"/>
              <w:adjustRightInd w:val="0"/>
              <w:snapToGrid w:val="0"/>
              <w:spacing w:line="240" w:lineRule="auto"/>
              <w:jc w:val="center"/>
              <w:rPr>
                <w:rFonts w:cstheme="minorBidi"/>
                <w:noProof w:val="0"/>
                <w:color w:val="auto"/>
              </w:rPr>
            </w:pPr>
            <w:r w:rsidRPr="00162B16">
              <w:rPr>
                <w:noProof w:val="0"/>
                <w:color w:val="auto"/>
              </w:rPr>
              <w:t xml:space="preserve">279 (18.9) </w:t>
            </w:r>
            <w:r w:rsidRPr="00162B16">
              <w:rPr>
                <w:noProof w:val="0"/>
                <w:color w:val="auto"/>
                <w:vertAlign w:val="superscript"/>
              </w:rPr>
              <w:t>a</w:t>
            </w:r>
          </w:p>
        </w:tc>
        <w:tc>
          <w:tcPr>
            <w:tcW w:w="1265" w:type="dxa"/>
            <w:tcBorders>
              <w:top w:val="nil"/>
              <w:left w:val="nil"/>
              <w:right w:val="nil"/>
            </w:tcBorders>
            <w:shd w:val="clear" w:color="auto" w:fill="auto"/>
            <w:vAlign w:val="center"/>
            <w:hideMark/>
          </w:tcPr>
          <w:p w14:paraId="3915AF8B"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187 (13.4) </w:t>
            </w:r>
            <w:r w:rsidRPr="00162B16">
              <w:rPr>
                <w:noProof w:val="0"/>
                <w:color w:val="auto"/>
                <w:vertAlign w:val="superscript"/>
              </w:rPr>
              <w:t>b</w:t>
            </w:r>
          </w:p>
        </w:tc>
        <w:tc>
          <w:tcPr>
            <w:tcW w:w="1557" w:type="dxa"/>
            <w:tcBorders>
              <w:top w:val="nil"/>
              <w:left w:val="nil"/>
              <w:right w:val="nil"/>
            </w:tcBorders>
            <w:shd w:val="clear" w:color="auto" w:fill="auto"/>
            <w:vAlign w:val="center"/>
            <w:hideMark/>
          </w:tcPr>
          <w:p w14:paraId="0FFC3427" w14:textId="77777777" w:rsidR="00343B0B" w:rsidRPr="00162B16" w:rsidRDefault="00343B0B" w:rsidP="00C61A87">
            <w:pPr>
              <w:autoSpaceDE w:val="0"/>
              <w:autoSpaceDN w:val="0"/>
              <w:adjustRightInd w:val="0"/>
              <w:snapToGrid w:val="0"/>
              <w:spacing w:line="240" w:lineRule="auto"/>
              <w:jc w:val="center"/>
              <w:rPr>
                <w:noProof w:val="0"/>
                <w:color w:val="auto"/>
              </w:rPr>
            </w:pPr>
            <w:r w:rsidRPr="00162B16">
              <w:rPr>
                <w:noProof w:val="0"/>
                <w:color w:val="auto"/>
              </w:rPr>
              <w:t xml:space="preserve">115 (6.4) </w:t>
            </w:r>
            <w:r w:rsidRPr="00162B16">
              <w:rPr>
                <w:noProof w:val="0"/>
                <w:color w:val="auto"/>
                <w:vertAlign w:val="superscript"/>
              </w:rPr>
              <w:t>c</w:t>
            </w:r>
          </w:p>
        </w:tc>
        <w:tc>
          <w:tcPr>
            <w:tcW w:w="877" w:type="dxa"/>
            <w:vMerge/>
            <w:tcBorders>
              <w:top w:val="nil"/>
              <w:left w:val="nil"/>
              <w:right w:val="nil"/>
            </w:tcBorders>
            <w:shd w:val="clear" w:color="auto" w:fill="auto"/>
            <w:vAlign w:val="center"/>
            <w:hideMark/>
          </w:tcPr>
          <w:p w14:paraId="596968AD" w14:textId="77777777" w:rsidR="00343B0B" w:rsidRPr="00162B16" w:rsidRDefault="00343B0B" w:rsidP="00C61A87">
            <w:pPr>
              <w:autoSpaceDE w:val="0"/>
              <w:autoSpaceDN w:val="0"/>
              <w:adjustRightInd w:val="0"/>
              <w:snapToGrid w:val="0"/>
              <w:spacing w:line="240" w:lineRule="auto"/>
              <w:jc w:val="center"/>
              <w:rPr>
                <w:noProof w:val="0"/>
                <w:color w:val="auto"/>
                <w:lang w:eastAsia="en-US"/>
              </w:rPr>
            </w:pPr>
          </w:p>
        </w:tc>
      </w:tr>
      <w:tr w:rsidR="00162B16" w:rsidRPr="00162B16" w14:paraId="11095AB4" w14:textId="77777777" w:rsidTr="006D4870">
        <w:trPr>
          <w:jc w:val="center"/>
        </w:trPr>
        <w:tc>
          <w:tcPr>
            <w:tcW w:w="3997" w:type="dxa"/>
            <w:tcBorders>
              <w:top w:val="nil"/>
              <w:left w:val="nil"/>
              <w:right w:val="nil"/>
            </w:tcBorders>
            <w:shd w:val="clear" w:color="auto" w:fill="auto"/>
            <w:vAlign w:val="center"/>
          </w:tcPr>
          <w:p w14:paraId="3719522D" w14:textId="77777777" w:rsidR="006D4870" w:rsidRPr="00162B16" w:rsidRDefault="006D4870" w:rsidP="00C61A87">
            <w:pPr>
              <w:autoSpaceDE w:val="0"/>
              <w:autoSpaceDN w:val="0"/>
              <w:adjustRightInd w:val="0"/>
              <w:snapToGrid w:val="0"/>
              <w:spacing w:line="240" w:lineRule="auto"/>
              <w:jc w:val="center"/>
              <w:rPr>
                <w:noProof w:val="0"/>
                <w:color w:val="auto"/>
              </w:rPr>
            </w:pPr>
          </w:p>
        </w:tc>
        <w:tc>
          <w:tcPr>
            <w:tcW w:w="1390" w:type="dxa"/>
            <w:tcBorders>
              <w:top w:val="nil"/>
              <w:left w:val="nil"/>
              <w:right w:val="nil"/>
            </w:tcBorders>
            <w:shd w:val="clear" w:color="auto" w:fill="auto"/>
            <w:vAlign w:val="center"/>
          </w:tcPr>
          <w:p w14:paraId="61726C4D" w14:textId="77777777" w:rsidR="006D4870" w:rsidRPr="00162B16" w:rsidRDefault="006D4870" w:rsidP="00C61A87">
            <w:pPr>
              <w:autoSpaceDE w:val="0"/>
              <w:autoSpaceDN w:val="0"/>
              <w:adjustRightInd w:val="0"/>
              <w:snapToGrid w:val="0"/>
              <w:spacing w:line="240" w:lineRule="auto"/>
              <w:jc w:val="center"/>
              <w:rPr>
                <w:noProof w:val="0"/>
                <w:color w:val="auto"/>
              </w:rPr>
            </w:pPr>
          </w:p>
        </w:tc>
        <w:tc>
          <w:tcPr>
            <w:tcW w:w="1265" w:type="dxa"/>
            <w:tcBorders>
              <w:top w:val="nil"/>
              <w:left w:val="nil"/>
              <w:right w:val="nil"/>
            </w:tcBorders>
            <w:shd w:val="clear" w:color="auto" w:fill="auto"/>
            <w:vAlign w:val="center"/>
          </w:tcPr>
          <w:p w14:paraId="7DB1ABA6" w14:textId="77777777" w:rsidR="006D4870" w:rsidRPr="00162B16" w:rsidRDefault="006D4870" w:rsidP="00C61A87">
            <w:pPr>
              <w:autoSpaceDE w:val="0"/>
              <w:autoSpaceDN w:val="0"/>
              <w:adjustRightInd w:val="0"/>
              <w:snapToGrid w:val="0"/>
              <w:spacing w:line="240" w:lineRule="auto"/>
              <w:jc w:val="center"/>
              <w:rPr>
                <w:noProof w:val="0"/>
                <w:color w:val="auto"/>
              </w:rPr>
            </w:pPr>
          </w:p>
        </w:tc>
        <w:tc>
          <w:tcPr>
            <w:tcW w:w="1557" w:type="dxa"/>
            <w:tcBorders>
              <w:top w:val="nil"/>
              <w:left w:val="nil"/>
              <w:right w:val="nil"/>
            </w:tcBorders>
            <w:shd w:val="clear" w:color="auto" w:fill="auto"/>
            <w:vAlign w:val="center"/>
          </w:tcPr>
          <w:p w14:paraId="2412EBCE" w14:textId="77777777" w:rsidR="006D4870" w:rsidRPr="00162B16" w:rsidRDefault="006D4870" w:rsidP="00C61A87">
            <w:pPr>
              <w:autoSpaceDE w:val="0"/>
              <w:autoSpaceDN w:val="0"/>
              <w:adjustRightInd w:val="0"/>
              <w:snapToGrid w:val="0"/>
              <w:spacing w:line="240" w:lineRule="auto"/>
              <w:jc w:val="center"/>
              <w:rPr>
                <w:noProof w:val="0"/>
                <w:color w:val="auto"/>
              </w:rPr>
            </w:pPr>
          </w:p>
        </w:tc>
        <w:tc>
          <w:tcPr>
            <w:tcW w:w="877" w:type="dxa"/>
            <w:tcBorders>
              <w:top w:val="nil"/>
              <w:left w:val="nil"/>
              <w:right w:val="nil"/>
            </w:tcBorders>
            <w:shd w:val="clear" w:color="auto" w:fill="auto"/>
            <w:vAlign w:val="center"/>
          </w:tcPr>
          <w:p w14:paraId="04ECF1EA" w14:textId="77777777" w:rsidR="006D4870" w:rsidRPr="00162B16" w:rsidRDefault="006D4870" w:rsidP="00C61A87">
            <w:pPr>
              <w:autoSpaceDE w:val="0"/>
              <w:autoSpaceDN w:val="0"/>
              <w:adjustRightInd w:val="0"/>
              <w:snapToGrid w:val="0"/>
              <w:spacing w:line="240" w:lineRule="auto"/>
              <w:jc w:val="center"/>
              <w:rPr>
                <w:noProof w:val="0"/>
                <w:color w:val="auto"/>
                <w:lang w:eastAsia="en-US"/>
              </w:rPr>
            </w:pPr>
          </w:p>
        </w:tc>
      </w:tr>
      <w:tr w:rsidR="00162B16" w:rsidRPr="00162B16" w14:paraId="06C6363D" w14:textId="77777777" w:rsidTr="006D4870">
        <w:trPr>
          <w:jc w:val="center"/>
        </w:trPr>
        <w:tc>
          <w:tcPr>
            <w:tcW w:w="3997" w:type="dxa"/>
            <w:tcBorders>
              <w:left w:val="nil"/>
              <w:bottom w:val="single" w:sz="4" w:space="0" w:color="auto"/>
              <w:right w:val="nil"/>
            </w:tcBorders>
            <w:shd w:val="clear" w:color="auto" w:fill="auto"/>
            <w:vAlign w:val="center"/>
          </w:tcPr>
          <w:p w14:paraId="17B048F5" w14:textId="78ABB428" w:rsidR="006D4870" w:rsidRPr="00162B16" w:rsidRDefault="006D4870" w:rsidP="00C61A87">
            <w:pPr>
              <w:autoSpaceDE w:val="0"/>
              <w:autoSpaceDN w:val="0"/>
              <w:adjustRightInd w:val="0"/>
              <w:snapToGrid w:val="0"/>
              <w:spacing w:line="240" w:lineRule="auto"/>
              <w:jc w:val="center"/>
              <w:rPr>
                <w:noProof w:val="0"/>
                <w:color w:val="auto"/>
              </w:rPr>
            </w:pPr>
            <w:r w:rsidRPr="00162B16">
              <w:rPr>
                <w:noProof w:val="0"/>
                <w:color w:val="auto"/>
              </w:rPr>
              <w:t xml:space="preserve">PA </w:t>
            </w:r>
            <w:r w:rsidR="005832E1" w:rsidRPr="00162B16">
              <w:rPr>
                <w:noProof w:val="0"/>
                <w:color w:val="auto"/>
              </w:rPr>
              <w:t xml:space="preserve">total </w:t>
            </w:r>
            <w:r w:rsidRPr="00162B16">
              <w:rPr>
                <w:noProof w:val="0"/>
                <w:color w:val="auto"/>
              </w:rPr>
              <w:t>MET minutes per week</w:t>
            </w:r>
            <w:r w:rsidR="00934AFF" w:rsidRPr="00162B16">
              <w:rPr>
                <w:noProof w:val="0"/>
                <w:color w:val="auto"/>
              </w:rPr>
              <w:t xml:space="preserve"> (mean)</w:t>
            </w:r>
          </w:p>
        </w:tc>
        <w:tc>
          <w:tcPr>
            <w:tcW w:w="1390" w:type="dxa"/>
            <w:tcBorders>
              <w:left w:val="nil"/>
              <w:bottom w:val="single" w:sz="4" w:space="0" w:color="auto"/>
              <w:right w:val="nil"/>
            </w:tcBorders>
            <w:shd w:val="clear" w:color="auto" w:fill="auto"/>
            <w:vAlign w:val="center"/>
          </w:tcPr>
          <w:p w14:paraId="60EBA223" w14:textId="04DF52E7" w:rsidR="006D4870" w:rsidRPr="00162B16" w:rsidRDefault="00934AFF" w:rsidP="00C61A87">
            <w:pPr>
              <w:autoSpaceDE w:val="0"/>
              <w:autoSpaceDN w:val="0"/>
              <w:adjustRightInd w:val="0"/>
              <w:snapToGrid w:val="0"/>
              <w:spacing w:line="240" w:lineRule="auto"/>
              <w:jc w:val="center"/>
              <w:rPr>
                <w:noProof w:val="0"/>
                <w:color w:val="auto"/>
              </w:rPr>
            </w:pPr>
            <w:r w:rsidRPr="00162B16">
              <w:rPr>
                <w:noProof w:val="0"/>
                <w:color w:val="auto"/>
              </w:rPr>
              <w:t>1932</w:t>
            </w:r>
          </w:p>
        </w:tc>
        <w:tc>
          <w:tcPr>
            <w:tcW w:w="1265" w:type="dxa"/>
            <w:tcBorders>
              <w:left w:val="nil"/>
              <w:bottom w:val="single" w:sz="4" w:space="0" w:color="auto"/>
              <w:right w:val="nil"/>
            </w:tcBorders>
            <w:shd w:val="clear" w:color="auto" w:fill="auto"/>
            <w:vAlign w:val="center"/>
          </w:tcPr>
          <w:p w14:paraId="4AB80F53" w14:textId="045991CB" w:rsidR="006D4870" w:rsidRPr="00162B16" w:rsidRDefault="00934AFF" w:rsidP="00C61A87">
            <w:pPr>
              <w:autoSpaceDE w:val="0"/>
              <w:autoSpaceDN w:val="0"/>
              <w:adjustRightInd w:val="0"/>
              <w:snapToGrid w:val="0"/>
              <w:spacing w:line="240" w:lineRule="auto"/>
              <w:jc w:val="center"/>
              <w:rPr>
                <w:noProof w:val="0"/>
                <w:color w:val="auto"/>
              </w:rPr>
            </w:pPr>
            <w:r w:rsidRPr="00162B16">
              <w:rPr>
                <w:noProof w:val="0"/>
                <w:color w:val="auto"/>
              </w:rPr>
              <w:t>1169</w:t>
            </w:r>
          </w:p>
        </w:tc>
        <w:tc>
          <w:tcPr>
            <w:tcW w:w="1557" w:type="dxa"/>
            <w:tcBorders>
              <w:left w:val="nil"/>
              <w:bottom w:val="single" w:sz="4" w:space="0" w:color="auto"/>
              <w:right w:val="nil"/>
            </w:tcBorders>
            <w:shd w:val="clear" w:color="auto" w:fill="auto"/>
            <w:vAlign w:val="center"/>
          </w:tcPr>
          <w:p w14:paraId="1230D19A" w14:textId="69926497" w:rsidR="006D4870" w:rsidRPr="00162B16" w:rsidRDefault="00934AFF" w:rsidP="00C61A87">
            <w:pPr>
              <w:autoSpaceDE w:val="0"/>
              <w:autoSpaceDN w:val="0"/>
              <w:adjustRightInd w:val="0"/>
              <w:snapToGrid w:val="0"/>
              <w:spacing w:line="240" w:lineRule="auto"/>
              <w:jc w:val="center"/>
              <w:rPr>
                <w:noProof w:val="0"/>
                <w:color w:val="auto"/>
              </w:rPr>
            </w:pPr>
            <w:r w:rsidRPr="00162B16">
              <w:rPr>
                <w:noProof w:val="0"/>
                <w:color w:val="auto"/>
              </w:rPr>
              <w:t>943</w:t>
            </w:r>
          </w:p>
        </w:tc>
        <w:tc>
          <w:tcPr>
            <w:tcW w:w="877" w:type="dxa"/>
            <w:tcBorders>
              <w:left w:val="nil"/>
              <w:bottom w:val="single" w:sz="4" w:space="0" w:color="auto"/>
              <w:right w:val="nil"/>
            </w:tcBorders>
            <w:shd w:val="clear" w:color="auto" w:fill="auto"/>
            <w:vAlign w:val="center"/>
          </w:tcPr>
          <w:p w14:paraId="75E5AA61" w14:textId="6BBE74E9" w:rsidR="006D4870" w:rsidRPr="00162B16" w:rsidRDefault="00934AFF" w:rsidP="00C61A87">
            <w:pPr>
              <w:autoSpaceDE w:val="0"/>
              <w:autoSpaceDN w:val="0"/>
              <w:adjustRightInd w:val="0"/>
              <w:snapToGrid w:val="0"/>
              <w:spacing w:line="240" w:lineRule="auto"/>
              <w:jc w:val="center"/>
              <w:rPr>
                <w:noProof w:val="0"/>
                <w:color w:val="auto"/>
                <w:lang w:eastAsia="en-US"/>
              </w:rPr>
            </w:pPr>
            <w:r w:rsidRPr="00162B16">
              <w:rPr>
                <w:noProof w:val="0"/>
                <w:color w:val="auto"/>
              </w:rPr>
              <w:t>&lt;0.001*</w:t>
            </w:r>
          </w:p>
        </w:tc>
      </w:tr>
      <w:tr w:rsidR="00343B0B" w:rsidRPr="00162B16" w14:paraId="62059A16" w14:textId="77777777" w:rsidTr="00C61A87">
        <w:trPr>
          <w:jc w:val="center"/>
        </w:trPr>
        <w:tc>
          <w:tcPr>
            <w:tcW w:w="8209" w:type="dxa"/>
            <w:gridSpan w:val="4"/>
            <w:tcBorders>
              <w:top w:val="single" w:sz="4" w:space="0" w:color="auto"/>
              <w:left w:val="nil"/>
              <w:bottom w:val="single" w:sz="8" w:space="0" w:color="auto"/>
              <w:right w:val="nil"/>
            </w:tcBorders>
            <w:shd w:val="clear" w:color="auto" w:fill="auto"/>
            <w:vAlign w:val="center"/>
            <w:hideMark/>
          </w:tcPr>
          <w:p w14:paraId="43620367" w14:textId="77777777" w:rsidR="00343B0B" w:rsidRPr="00162B16" w:rsidRDefault="00343B0B" w:rsidP="00F900CE">
            <w:pPr>
              <w:pStyle w:val="MDPI43tablefooter"/>
              <w:ind w:left="425" w:right="425"/>
              <w:jc w:val="left"/>
              <w:rPr>
                <w:color w:val="auto"/>
              </w:rPr>
            </w:pPr>
            <w:r w:rsidRPr="00162B16">
              <w:rPr>
                <w:color w:val="auto"/>
              </w:rPr>
              <w:t xml:space="preserve">* </w:t>
            </w:r>
            <w:proofErr w:type="gramStart"/>
            <w:r w:rsidRPr="00162B16">
              <w:rPr>
                <w:color w:val="auto"/>
              </w:rPr>
              <w:t>indicates</w:t>
            </w:r>
            <w:proofErr w:type="gramEnd"/>
            <w:r w:rsidRPr="00162B16">
              <w:rPr>
                <w:color w:val="auto"/>
              </w:rPr>
              <w:t xml:space="preserve"> significance at 0.05 level</w:t>
            </w:r>
            <w:r w:rsidR="00831911" w:rsidRPr="00162B16">
              <w:rPr>
                <w:color w:val="auto"/>
              </w:rPr>
              <w:t>.</w:t>
            </w:r>
          </w:p>
          <w:p w14:paraId="56908E98" w14:textId="2FAE2701" w:rsidR="00082224" w:rsidRPr="00162B16" w:rsidRDefault="00082224" w:rsidP="00F900CE">
            <w:pPr>
              <w:pStyle w:val="MDPI31text"/>
              <w:ind w:left="0"/>
              <w:jc w:val="left"/>
              <w:rPr>
                <w:color w:val="auto"/>
              </w:rPr>
            </w:pPr>
            <w:r w:rsidRPr="00162B16">
              <w:rPr>
                <w:color w:val="auto"/>
                <w:sz w:val="18"/>
                <w:szCs w:val="20"/>
              </w:rPr>
              <w:t>BMI = Body mass index; PA = Physical activity behavior</w:t>
            </w:r>
          </w:p>
        </w:tc>
        <w:tc>
          <w:tcPr>
            <w:tcW w:w="877" w:type="dxa"/>
            <w:tcBorders>
              <w:top w:val="single" w:sz="4" w:space="0" w:color="auto"/>
              <w:left w:val="nil"/>
              <w:bottom w:val="single" w:sz="8" w:space="0" w:color="auto"/>
              <w:right w:val="nil"/>
            </w:tcBorders>
            <w:shd w:val="clear" w:color="auto" w:fill="auto"/>
            <w:vAlign w:val="center"/>
          </w:tcPr>
          <w:p w14:paraId="02BB2EF8" w14:textId="77777777" w:rsidR="00343B0B" w:rsidRPr="00162B16" w:rsidRDefault="00343B0B" w:rsidP="00C61A87">
            <w:pPr>
              <w:autoSpaceDE w:val="0"/>
              <w:autoSpaceDN w:val="0"/>
              <w:adjustRightInd w:val="0"/>
              <w:snapToGrid w:val="0"/>
              <w:spacing w:line="240" w:lineRule="auto"/>
              <w:jc w:val="center"/>
              <w:rPr>
                <w:noProof w:val="0"/>
                <w:color w:val="auto"/>
              </w:rPr>
            </w:pPr>
          </w:p>
        </w:tc>
      </w:tr>
    </w:tbl>
    <w:p w14:paraId="10BD588A" w14:textId="77777777" w:rsidR="00343B0B" w:rsidRPr="00162B16" w:rsidRDefault="00343B0B" w:rsidP="00D2168E">
      <w:pPr>
        <w:pStyle w:val="MDPI31text"/>
        <w:rPr>
          <w:color w:val="auto"/>
        </w:rPr>
      </w:pPr>
    </w:p>
    <w:p w14:paraId="09CCC672" w14:textId="31D56729" w:rsidR="00455395" w:rsidRPr="00162B16" w:rsidRDefault="00455395" w:rsidP="00831911">
      <w:pPr>
        <w:pStyle w:val="MDPI31text"/>
        <w:rPr>
          <w:color w:val="auto"/>
        </w:rPr>
      </w:pPr>
      <w:r w:rsidRPr="00162B16">
        <w:rPr>
          <w:color w:val="auto"/>
        </w:rPr>
        <w:t>In 2014 6.4% of the participants reported high PA behavior, which is less when compared to 2008 (13.4%) and 2002 (18.9%). However, the number of people reporting moderate PA behavior was greater in 2014 (43%) compared to 2008 (34%) and 2002 (27%). Higher mean MET min per week scores were observed in 2002 and the lowest scores were observed in 2014. Using ANOVA test with Dunnett’s correction the difference was statistically significant between years (P &lt; 0.001). A higher variability in total MET min per week was obtained in 2002</w:t>
      </w:r>
      <w:r w:rsidR="00FF3049" w:rsidRPr="00162B16">
        <w:rPr>
          <w:color w:val="auto"/>
        </w:rPr>
        <w:t xml:space="preserve"> and t</w:t>
      </w:r>
      <w:r w:rsidRPr="00162B16">
        <w:rPr>
          <w:color w:val="auto"/>
        </w:rPr>
        <w:t xml:space="preserve">he lowest variability in total MET min per week was seen in 2014. </w:t>
      </w:r>
    </w:p>
    <w:p w14:paraId="0FE5B818" w14:textId="23375B09" w:rsidR="00455395" w:rsidRPr="00162B16" w:rsidRDefault="00455395" w:rsidP="00831911">
      <w:pPr>
        <w:pStyle w:val="MDPI31text"/>
        <w:rPr>
          <w:color w:val="auto"/>
        </w:rPr>
      </w:pPr>
      <w:r w:rsidRPr="00162B16">
        <w:rPr>
          <w:color w:val="auto"/>
        </w:rPr>
        <w:t>When comparing people in employment and those in retirement there was a statistical difference in 2002 and 2008 but not 2014 (table 2). What is noticeable is a decrease in the mean MET min per week in both groups. Employed individuals had statistically significant higher vigorous activity MET minutes per week then those in retirement in 2002 and 2008 (table 3). In 2014 the mean vigorous activity MET minutes per week was still slightly higher in those in employment but difference was not statistically significant (P = 0.36).</w:t>
      </w:r>
    </w:p>
    <w:p w14:paraId="1DAC37FF" w14:textId="015DA03C" w:rsidR="00831911" w:rsidRPr="00162B16" w:rsidRDefault="00831911" w:rsidP="00831911">
      <w:pPr>
        <w:pStyle w:val="MDPI41tablecaption"/>
        <w:rPr>
          <w:color w:val="auto"/>
        </w:rPr>
      </w:pPr>
      <w:r w:rsidRPr="00162B16">
        <w:rPr>
          <w:b/>
          <w:color w:val="auto"/>
        </w:rPr>
        <w:t xml:space="preserve">Table 2. </w:t>
      </w:r>
      <w:r w:rsidRPr="00162B16">
        <w:rPr>
          <w:color w:val="auto"/>
        </w:rPr>
        <w:t>Inter quartile ranges for total MET min per week employed vs retired.</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2"/>
        <w:gridCol w:w="308"/>
        <w:gridCol w:w="655"/>
        <w:gridCol w:w="308"/>
        <w:gridCol w:w="963"/>
        <w:gridCol w:w="963"/>
        <w:gridCol w:w="1245"/>
        <w:gridCol w:w="963"/>
        <w:gridCol w:w="963"/>
        <w:gridCol w:w="963"/>
        <w:gridCol w:w="823"/>
        <w:gridCol w:w="1350"/>
      </w:tblGrid>
      <w:tr w:rsidR="00162B16" w:rsidRPr="00162B16" w14:paraId="1B9EAA66" w14:textId="77777777" w:rsidTr="002C3233">
        <w:tc>
          <w:tcPr>
            <w:tcW w:w="460" w:type="pct"/>
            <w:tcBorders>
              <w:top w:val="single" w:sz="8" w:space="0" w:color="auto"/>
              <w:left w:val="nil"/>
              <w:bottom w:val="nil"/>
              <w:right w:val="nil"/>
            </w:tcBorders>
          </w:tcPr>
          <w:p w14:paraId="35C4AE01" w14:textId="77777777" w:rsidR="006345E6" w:rsidRPr="00162B16" w:rsidRDefault="006345E6" w:rsidP="00831911">
            <w:pPr>
              <w:autoSpaceDE w:val="0"/>
              <w:autoSpaceDN w:val="0"/>
              <w:adjustRightInd w:val="0"/>
              <w:snapToGrid w:val="0"/>
              <w:spacing w:line="240" w:lineRule="auto"/>
              <w:jc w:val="center"/>
              <w:rPr>
                <w:b/>
                <w:bCs/>
                <w:noProof w:val="0"/>
                <w:color w:val="auto"/>
              </w:rPr>
            </w:pPr>
          </w:p>
        </w:tc>
        <w:tc>
          <w:tcPr>
            <w:tcW w:w="460" w:type="pct"/>
            <w:gridSpan w:val="2"/>
            <w:tcBorders>
              <w:top w:val="single" w:sz="8" w:space="0" w:color="auto"/>
              <w:left w:val="nil"/>
              <w:bottom w:val="nil"/>
              <w:right w:val="nil"/>
            </w:tcBorders>
          </w:tcPr>
          <w:p w14:paraId="0298ACBE" w14:textId="77777777" w:rsidR="006345E6" w:rsidRPr="00162B16" w:rsidRDefault="006345E6" w:rsidP="00831911">
            <w:pPr>
              <w:autoSpaceDE w:val="0"/>
              <w:autoSpaceDN w:val="0"/>
              <w:adjustRightInd w:val="0"/>
              <w:snapToGrid w:val="0"/>
              <w:spacing w:line="240" w:lineRule="auto"/>
              <w:jc w:val="center"/>
              <w:rPr>
                <w:b/>
                <w:bCs/>
                <w:noProof w:val="0"/>
                <w:color w:val="auto"/>
              </w:rPr>
            </w:pPr>
          </w:p>
        </w:tc>
        <w:tc>
          <w:tcPr>
            <w:tcW w:w="4081" w:type="pct"/>
            <w:gridSpan w:val="9"/>
            <w:tcBorders>
              <w:top w:val="single" w:sz="8" w:space="0" w:color="auto"/>
              <w:left w:val="nil"/>
              <w:bottom w:val="nil"/>
              <w:right w:val="nil"/>
            </w:tcBorders>
            <w:shd w:val="clear" w:color="auto" w:fill="auto"/>
            <w:vAlign w:val="center"/>
            <w:hideMark/>
          </w:tcPr>
          <w:p w14:paraId="2F81A4DE" w14:textId="0C1E5467" w:rsidR="006345E6" w:rsidRPr="00162B16" w:rsidRDefault="006345E6" w:rsidP="00831911">
            <w:pPr>
              <w:autoSpaceDE w:val="0"/>
              <w:autoSpaceDN w:val="0"/>
              <w:adjustRightInd w:val="0"/>
              <w:snapToGrid w:val="0"/>
              <w:spacing w:line="240" w:lineRule="auto"/>
              <w:jc w:val="center"/>
              <w:rPr>
                <w:b/>
                <w:bCs/>
                <w:noProof w:val="0"/>
                <w:color w:val="auto"/>
              </w:rPr>
            </w:pPr>
            <w:r w:rsidRPr="00162B16">
              <w:rPr>
                <w:b/>
                <w:bCs/>
                <w:noProof w:val="0"/>
                <w:color w:val="auto"/>
              </w:rPr>
              <w:t>Total MET min per week</w:t>
            </w:r>
          </w:p>
        </w:tc>
      </w:tr>
      <w:tr w:rsidR="00162B16" w:rsidRPr="00162B16" w14:paraId="7D2CC4E7" w14:textId="77777777" w:rsidTr="002C3233">
        <w:tc>
          <w:tcPr>
            <w:tcW w:w="607" w:type="pct"/>
            <w:gridSpan w:val="2"/>
            <w:shd w:val="clear" w:color="auto" w:fill="auto"/>
            <w:vAlign w:val="center"/>
            <w:hideMark/>
          </w:tcPr>
          <w:p w14:paraId="30FBC50D" w14:textId="6AB53B5A"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Year</w:t>
            </w:r>
          </w:p>
        </w:tc>
        <w:tc>
          <w:tcPr>
            <w:tcW w:w="1974" w:type="pct"/>
            <w:gridSpan w:val="5"/>
          </w:tcPr>
          <w:p w14:paraId="45C34DD4" w14:textId="55542EEF"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Employed</w:t>
            </w:r>
          </w:p>
        </w:tc>
        <w:tc>
          <w:tcPr>
            <w:tcW w:w="460" w:type="pct"/>
          </w:tcPr>
          <w:p w14:paraId="2A35EB26" w14:textId="77777777" w:rsidR="006345E6" w:rsidRPr="00162B16" w:rsidRDefault="006345E6" w:rsidP="00831911">
            <w:pPr>
              <w:autoSpaceDE w:val="0"/>
              <w:autoSpaceDN w:val="0"/>
              <w:adjustRightInd w:val="0"/>
              <w:snapToGrid w:val="0"/>
              <w:spacing w:line="240" w:lineRule="auto"/>
              <w:jc w:val="center"/>
              <w:rPr>
                <w:noProof w:val="0"/>
                <w:color w:val="auto"/>
              </w:rPr>
            </w:pPr>
          </w:p>
        </w:tc>
        <w:tc>
          <w:tcPr>
            <w:tcW w:w="1312" w:type="pct"/>
            <w:gridSpan w:val="3"/>
            <w:shd w:val="clear" w:color="auto" w:fill="auto"/>
            <w:vAlign w:val="center"/>
            <w:hideMark/>
          </w:tcPr>
          <w:p w14:paraId="708D8A24" w14:textId="3627A6C7"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Retired</w:t>
            </w:r>
          </w:p>
        </w:tc>
        <w:tc>
          <w:tcPr>
            <w:tcW w:w="647" w:type="pct"/>
            <w:shd w:val="clear" w:color="auto" w:fill="auto"/>
            <w:vAlign w:val="center"/>
            <w:hideMark/>
          </w:tcPr>
          <w:p w14:paraId="00F975E7" w14:textId="77777777"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P value</w:t>
            </w:r>
          </w:p>
        </w:tc>
      </w:tr>
      <w:tr w:rsidR="00162B16" w:rsidRPr="00162B16" w14:paraId="2DE64894" w14:textId="77777777" w:rsidTr="002C3233">
        <w:tc>
          <w:tcPr>
            <w:tcW w:w="607" w:type="pct"/>
            <w:gridSpan w:val="2"/>
            <w:shd w:val="clear" w:color="auto" w:fill="auto"/>
            <w:vAlign w:val="center"/>
          </w:tcPr>
          <w:p w14:paraId="398AD5A5" w14:textId="77777777" w:rsidR="006345E6" w:rsidRPr="00162B16" w:rsidRDefault="006345E6" w:rsidP="00831911">
            <w:pPr>
              <w:autoSpaceDE w:val="0"/>
              <w:autoSpaceDN w:val="0"/>
              <w:adjustRightInd w:val="0"/>
              <w:snapToGrid w:val="0"/>
              <w:spacing w:line="240" w:lineRule="auto"/>
              <w:jc w:val="center"/>
              <w:rPr>
                <w:noProof w:val="0"/>
                <w:color w:val="auto"/>
              </w:rPr>
            </w:pPr>
          </w:p>
        </w:tc>
        <w:tc>
          <w:tcPr>
            <w:tcW w:w="460" w:type="pct"/>
            <w:gridSpan w:val="2"/>
          </w:tcPr>
          <w:p w14:paraId="281C86F3" w14:textId="57FF4B6D"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n</w:t>
            </w:r>
          </w:p>
        </w:tc>
        <w:tc>
          <w:tcPr>
            <w:tcW w:w="460" w:type="pct"/>
            <w:shd w:val="clear" w:color="auto" w:fill="auto"/>
            <w:vAlign w:val="center"/>
            <w:hideMark/>
          </w:tcPr>
          <w:p w14:paraId="1E32E666" w14:textId="2D15604F"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25</w:t>
            </w:r>
            <w:r w:rsidRPr="00162B16">
              <w:rPr>
                <w:noProof w:val="0"/>
                <w:color w:val="auto"/>
                <w:vertAlign w:val="superscript"/>
              </w:rPr>
              <w:t>th</w:t>
            </w:r>
          </w:p>
        </w:tc>
        <w:tc>
          <w:tcPr>
            <w:tcW w:w="460" w:type="pct"/>
            <w:shd w:val="clear" w:color="auto" w:fill="auto"/>
            <w:vAlign w:val="center"/>
            <w:hideMark/>
          </w:tcPr>
          <w:p w14:paraId="21BD8729" w14:textId="77777777"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50</w:t>
            </w:r>
            <w:r w:rsidRPr="00162B16">
              <w:rPr>
                <w:noProof w:val="0"/>
                <w:color w:val="auto"/>
                <w:vertAlign w:val="superscript"/>
              </w:rPr>
              <w:t>th</w:t>
            </w:r>
          </w:p>
        </w:tc>
        <w:tc>
          <w:tcPr>
            <w:tcW w:w="595" w:type="pct"/>
            <w:shd w:val="clear" w:color="auto" w:fill="auto"/>
            <w:vAlign w:val="center"/>
            <w:hideMark/>
          </w:tcPr>
          <w:p w14:paraId="7EF6FAE5" w14:textId="77777777"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75</w:t>
            </w:r>
            <w:r w:rsidRPr="00162B16">
              <w:rPr>
                <w:noProof w:val="0"/>
                <w:color w:val="auto"/>
                <w:vertAlign w:val="superscript"/>
              </w:rPr>
              <w:t>th</w:t>
            </w:r>
          </w:p>
        </w:tc>
        <w:tc>
          <w:tcPr>
            <w:tcW w:w="460" w:type="pct"/>
            <w:shd w:val="clear" w:color="auto" w:fill="auto"/>
            <w:vAlign w:val="center"/>
            <w:hideMark/>
          </w:tcPr>
          <w:p w14:paraId="64041C93" w14:textId="77777777"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25</w:t>
            </w:r>
            <w:r w:rsidRPr="00162B16">
              <w:rPr>
                <w:noProof w:val="0"/>
                <w:color w:val="auto"/>
                <w:vertAlign w:val="superscript"/>
              </w:rPr>
              <w:t>th</w:t>
            </w:r>
          </w:p>
        </w:tc>
        <w:tc>
          <w:tcPr>
            <w:tcW w:w="460" w:type="pct"/>
          </w:tcPr>
          <w:p w14:paraId="79AEC9BB" w14:textId="18EA3D30"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n</w:t>
            </w:r>
          </w:p>
        </w:tc>
        <w:tc>
          <w:tcPr>
            <w:tcW w:w="460" w:type="pct"/>
            <w:shd w:val="clear" w:color="auto" w:fill="auto"/>
            <w:vAlign w:val="center"/>
            <w:hideMark/>
          </w:tcPr>
          <w:p w14:paraId="0CC91723" w14:textId="718AECE4"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50</w:t>
            </w:r>
            <w:r w:rsidRPr="00162B16">
              <w:rPr>
                <w:noProof w:val="0"/>
                <w:color w:val="auto"/>
                <w:vertAlign w:val="superscript"/>
              </w:rPr>
              <w:t>th</w:t>
            </w:r>
          </w:p>
        </w:tc>
        <w:tc>
          <w:tcPr>
            <w:tcW w:w="393" w:type="pct"/>
            <w:shd w:val="clear" w:color="auto" w:fill="auto"/>
            <w:vAlign w:val="center"/>
            <w:hideMark/>
          </w:tcPr>
          <w:p w14:paraId="19894420" w14:textId="77777777"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75</w:t>
            </w:r>
            <w:r w:rsidRPr="00162B16">
              <w:rPr>
                <w:noProof w:val="0"/>
                <w:color w:val="auto"/>
                <w:vertAlign w:val="superscript"/>
              </w:rPr>
              <w:t>th</w:t>
            </w:r>
          </w:p>
        </w:tc>
        <w:tc>
          <w:tcPr>
            <w:tcW w:w="647" w:type="pct"/>
            <w:shd w:val="clear" w:color="auto" w:fill="auto"/>
            <w:vAlign w:val="center"/>
          </w:tcPr>
          <w:p w14:paraId="4207521F" w14:textId="77777777" w:rsidR="006345E6" w:rsidRPr="00162B16" w:rsidRDefault="006345E6" w:rsidP="00831911">
            <w:pPr>
              <w:autoSpaceDE w:val="0"/>
              <w:autoSpaceDN w:val="0"/>
              <w:adjustRightInd w:val="0"/>
              <w:snapToGrid w:val="0"/>
              <w:spacing w:line="240" w:lineRule="auto"/>
              <w:jc w:val="center"/>
              <w:rPr>
                <w:noProof w:val="0"/>
                <w:color w:val="auto"/>
              </w:rPr>
            </w:pPr>
          </w:p>
        </w:tc>
      </w:tr>
      <w:tr w:rsidR="00162B16" w:rsidRPr="00162B16" w14:paraId="5822A242" w14:textId="77777777" w:rsidTr="002C3233">
        <w:tc>
          <w:tcPr>
            <w:tcW w:w="607" w:type="pct"/>
            <w:gridSpan w:val="2"/>
            <w:shd w:val="clear" w:color="auto" w:fill="auto"/>
            <w:vAlign w:val="center"/>
            <w:hideMark/>
          </w:tcPr>
          <w:p w14:paraId="767B1D05" w14:textId="77777777"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2002</w:t>
            </w:r>
          </w:p>
        </w:tc>
        <w:tc>
          <w:tcPr>
            <w:tcW w:w="460" w:type="pct"/>
            <w:gridSpan w:val="2"/>
          </w:tcPr>
          <w:p w14:paraId="50B8F938" w14:textId="55700B15"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414</w:t>
            </w:r>
          </w:p>
        </w:tc>
        <w:tc>
          <w:tcPr>
            <w:tcW w:w="460" w:type="pct"/>
            <w:shd w:val="clear" w:color="auto" w:fill="auto"/>
            <w:vAlign w:val="center"/>
            <w:hideMark/>
          </w:tcPr>
          <w:p w14:paraId="6C153F0D" w14:textId="6971E05B"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99</w:t>
            </w:r>
          </w:p>
        </w:tc>
        <w:tc>
          <w:tcPr>
            <w:tcW w:w="460" w:type="pct"/>
            <w:shd w:val="clear" w:color="auto" w:fill="auto"/>
            <w:vAlign w:val="center"/>
            <w:hideMark/>
          </w:tcPr>
          <w:p w14:paraId="0620C7D8" w14:textId="77777777"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693</w:t>
            </w:r>
          </w:p>
        </w:tc>
        <w:tc>
          <w:tcPr>
            <w:tcW w:w="595" w:type="pct"/>
            <w:shd w:val="clear" w:color="auto" w:fill="auto"/>
            <w:vAlign w:val="center"/>
            <w:hideMark/>
          </w:tcPr>
          <w:p w14:paraId="329F4F29" w14:textId="77777777"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2966</w:t>
            </w:r>
          </w:p>
        </w:tc>
        <w:tc>
          <w:tcPr>
            <w:tcW w:w="460" w:type="pct"/>
            <w:shd w:val="clear" w:color="auto" w:fill="auto"/>
            <w:vAlign w:val="center"/>
            <w:hideMark/>
          </w:tcPr>
          <w:p w14:paraId="24AC9962" w14:textId="77777777"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99</w:t>
            </w:r>
          </w:p>
        </w:tc>
        <w:tc>
          <w:tcPr>
            <w:tcW w:w="460" w:type="pct"/>
          </w:tcPr>
          <w:p w14:paraId="1A251EFC" w14:textId="3F026BE7"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498</w:t>
            </w:r>
          </w:p>
        </w:tc>
        <w:tc>
          <w:tcPr>
            <w:tcW w:w="460" w:type="pct"/>
            <w:shd w:val="clear" w:color="auto" w:fill="auto"/>
            <w:vAlign w:val="center"/>
            <w:hideMark/>
          </w:tcPr>
          <w:p w14:paraId="0C851501" w14:textId="417E0225"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693</w:t>
            </w:r>
          </w:p>
        </w:tc>
        <w:tc>
          <w:tcPr>
            <w:tcW w:w="393" w:type="pct"/>
            <w:shd w:val="clear" w:color="auto" w:fill="auto"/>
            <w:vAlign w:val="center"/>
            <w:hideMark/>
          </w:tcPr>
          <w:p w14:paraId="68837704" w14:textId="77777777"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2310</w:t>
            </w:r>
          </w:p>
        </w:tc>
        <w:tc>
          <w:tcPr>
            <w:tcW w:w="647" w:type="pct"/>
            <w:shd w:val="clear" w:color="auto" w:fill="auto"/>
            <w:vAlign w:val="center"/>
            <w:hideMark/>
          </w:tcPr>
          <w:p w14:paraId="1679C260" w14:textId="77777777"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0.03*</w:t>
            </w:r>
          </w:p>
        </w:tc>
      </w:tr>
      <w:tr w:rsidR="00162B16" w:rsidRPr="00162B16" w14:paraId="00AC693B" w14:textId="77777777" w:rsidTr="002C3233">
        <w:tc>
          <w:tcPr>
            <w:tcW w:w="607" w:type="pct"/>
            <w:gridSpan w:val="2"/>
            <w:shd w:val="clear" w:color="auto" w:fill="auto"/>
            <w:vAlign w:val="center"/>
            <w:hideMark/>
          </w:tcPr>
          <w:p w14:paraId="43B79F75" w14:textId="77777777"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2008</w:t>
            </w:r>
          </w:p>
        </w:tc>
        <w:tc>
          <w:tcPr>
            <w:tcW w:w="460" w:type="pct"/>
            <w:gridSpan w:val="2"/>
          </w:tcPr>
          <w:p w14:paraId="53A22621" w14:textId="707DFF44"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421</w:t>
            </w:r>
          </w:p>
        </w:tc>
        <w:tc>
          <w:tcPr>
            <w:tcW w:w="460" w:type="pct"/>
            <w:shd w:val="clear" w:color="auto" w:fill="auto"/>
            <w:vAlign w:val="center"/>
            <w:hideMark/>
          </w:tcPr>
          <w:p w14:paraId="766D3167" w14:textId="633DC457"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132</w:t>
            </w:r>
          </w:p>
        </w:tc>
        <w:tc>
          <w:tcPr>
            <w:tcW w:w="460" w:type="pct"/>
            <w:shd w:val="clear" w:color="auto" w:fill="auto"/>
            <w:vAlign w:val="center"/>
            <w:hideMark/>
          </w:tcPr>
          <w:p w14:paraId="560D3DD1" w14:textId="77777777"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693</w:t>
            </w:r>
          </w:p>
        </w:tc>
        <w:tc>
          <w:tcPr>
            <w:tcW w:w="595" w:type="pct"/>
            <w:shd w:val="clear" w:color="auto" w:fill="auto"/>
            <w:vAlign w:val="center"/>
            <w:hideMark/>
          </w:tcPr>
          <w:p w14:paraId="55096F70" w14:textId="77777777"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1893</w:t>
            </w:r>
          </w:p>
        </w:tc>
        <w:tc>
          <w:tcPr>
            <w:tcW w:w="460" w:type="pct"/>
            <w:shd w:val="clear" w:color="auto" w:fill="auto"/>
            <w:vAlign w:val="center"/>
            <w:hideMark/>
          </w:tcPr>
          <w:p w14:paraId="660506D5" w14:textId="77777777"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165</w:t>
            </w:r>
          </w:p>
        </w:tc>
        <w:tc>
          <w:tcPr>
            <w:tcW w:w="460" w:type="pct"/>
          </w:tcPr>
          <w:p w14:paraId="4AB09CD8" w14:textId="5995491C"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369</w:t>
            </w:r>
          </w:p>
        </w:tc>
        <w:tc>
          <w:tcPr>
            <w:tcW w:w="460" w:type="pct"/>
            <w:shd w:val="clear" w:color="auto" w:fill="auto"/>
            <w:vAlign w:val="center"/>
            <w:hideMark/>
          </w:tcPr>
          <w:p w14:paraId="69E40FD7" w14:textId="1D225F59"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657</w:t>
            </w:r>
          </w:p>
        </w:tc>
        <w:tc>
          <w:tcPr>
            <w:tcW w:w="393" w:type="pct"/>
            <w:shd w:val="clear" w:color="auto" w:fill="auto"/>
            <w:vAlign w:val="center"/>
            <w:hideMark/>
          </w:tcPr>
          <w:p w14:paraId="6D408B9C" w14:textId="77777777"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1386</w:t>
            </w:r>
          </w:p>
        </w:tc>
        <w:tc>
          <w:tcPr>
            <w:tcW w:w="647" w:type="pct"/>
            <w:shd w:val="clear" w:color="auto" w:fill="auto"/>
            <w:vAlign w:val="center"/>
            <w:hideMark/>
          </w:tcPr>
          <w:p w14:paraId="6038DE13" w14:textId="77777777"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&lt;0.001*</w:t>
            </w:r>
          </w:p>
        </w:tc>
      </w:tr>
      <w:tr w:rsidR="00162B16" w:rsidRPr="00162B16" w14:paraId="5D60DA2F" w14:textId="77777777" w:rsidTr="002C3233">
        <w:tc>
          <w:tcPr>
            <w:tcW w:w="607" w:type="pct"/>
            <w:gridSpan w:val="2"/>
            <w:tcBorders>
              <w:top w:val="nil"/>
              <w:left w:val="nil"/>
              <w:bottom w:val="single" w:sz="4" w:space="0" w:color="auto"/>
              <w:right w:val="nil"/>
            </w:tcBorders>
            <w:shd w:val="clear" w:color="auto" w:fill="auto"/>
            <w:vAlign w:val="center"/>
            <w:hideMark/>
          </w:tcPr>
          <w:p w14:paraId="714DA63E" w14:textId="77777777"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2014</w:t>
            </w:r>
          </w:p>
        </w:tc>
        <w:tc>
          <w:tcPr>
            <w:tcW w:w="460" w:type="pct"/>
            <w:gridSpan w:val="2"/>
            <w:tcBorders>
              <w:top w:val="nil"/>
              <w:left w:val="nil"/>
              <w:bottom w:val="single" w:sz="4" w:space="0" w:color="auto"/>
              <w:right w:val="nil"/>
            </w:tcBorders>
          </w:tcPr>
          <w:p w14:paraId="515F31F3" w14:textId="0AC17457"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538</w:t>
            </w:r>
          </w:p>
        </w:tc>
        <w:tc>
          <w:tcPr>
            <w:tcW w:w="460" w:type="pct"/>
            <w:tcBorders>
              <w:top w:val="nil"/>
              <w:left w:val="nil"/>
              <w:bottom w:val="single" w:sz="4" w:space="0" w:color="auto"/>
              <w:right w:val="nil"/>
            </w:tcBorders>
            <w:shd w:val="clear" w:color="auto" w:fill="auto"/>
            <w:vAlign w:val="center"/>
            <w:hideMark/>
          </w:tcPr>
          <w:p w14:paraId="4AEF8000" w14:textId="0E9DA8BE"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264</w:t>
            </w:r>
          </w:p>
        </w:tc>
        <w:tc>
          <w:tcPr>
            <w:tcW w:w="460" w:type="pct"/>
            <w:tcBorders>
              <w:top w:val="nil"/>
              <w:left w:val="nil"/>
              <w:bottom w:val="single" w:sz="4" w:space="0" w:color="auto"/>
              <w:right w:val="nil"/>
            </w:tcBorders>
            <w:shd w:val="clear" w:color="auto" w:fill="auto"/>
            <w:vAlign w:val="center"/>
            <w:hideMark/>
          </w:tcPr>
          <w:p w14:paraId="610E5F88" w14:textId="77777777"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660</w:t>
            </w:r>
          </w:p>
        </w:tc>
        <w:tc>
          <w:tcPr>
            <w:tcW w:w="595" w:type="pct"/>
            <w:tcBorders>
              <w:top w:val="nil"/>
              <w:left w:val="nil"/>
              <w:bottom w:val="single" w:sz="4" w:space="0" w:color="auto"/>
              <w:right w:val="nil"/>
            </w:tcBorders>
            <w:shd w:val="clear" w:color="auto" w:fill="auto"/>
            <w:vAlign w:val="center"/>
            <w:hideMark/>
          </w:tcPr>
          <w:p w14:paraId="7F73D4F2" w14:textId="77777777"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1316</w:t>
            </w:r>
          </w:p>
        </w:tc>
        <w:tc>
          <w:tcPr>
            <w:tcW w:w="460" w:type="pct"/>
            <w:tcBorders>
              <w:top w:val="nil"/>
              <w:left w:val="nil"/>
              <w:bottom w:val="single" w:sz="4" w:space="0" w:color="auto"/>
              <w:right w:val="nil"/>
            </w:tcBorders>
            <w:shd w:val="clear" w:color="auto" w:fill="auto"/>
            <w:vAlign w:val="center"/>
            <w:hideMark/>
          </w:tcPr>
          <w:p w14:paraId="19BD4160" w14:textId="77777777"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198</w:t>
            </w:r>
          </w:p>
        </w:tc>
        <w:tc>
          <w:tcPr>
            <w:tcW w:w="460" w:type="pct"/>
            <w:tcBorders>
              <w:top w:val="nil"/>
              <w:left w:val="nil"/>
              <w:bottom w:val="single" w:sz="4" w:space="0" w:color="auto"/>
              <w:right w:val="nil"/>
            </w:tcBorders>
          </w:tcPr>
          <w:p w14:paraId="1AB57301" w14:textId="08D17A02"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544</w:t>
            </w:r>
          </w:p>
        </w:tc>
        <w:tc>
          <w:tcPr>
            <w:tcW w:w="460" w:type="pct"/>
            <w:tcBorders>
              <w:top w:val="nil"/>
              <w:left w:val="nil"/>
              <w:bottom w:val="single" w:sz="4" w:space="0" w:color="auto"/>
              <w:right w:val="nil"/>
            </w:tcBorders>
            <w:shd w:val="clear" w:color="auto" w:fill="auto"/>
            <w:vAlign w:val="center"/>
            <w:hideMark/>
          </w:tcPr>
          <w:p w14:paraId="0C81C44A" w14:textId="747DD731"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671</w:t>
            </w:r>
          </w:p>
        </w:tc>
        <w:tc>
          <w:tcPr>
            <w:tcW w:w="393" w:type="pct"/>
            <w:tcBorders>
              <w:top w:val="nil"/>
              <w:left w:val="nil"/>
              <w:bottom w:val="single" w:sz="4" w:space="0" w:color="auto"/>
              <w:right w:val="nil"/>
            </w:tcBorders>
            <w:shd w:val="clear" w:color="auto" w:fill="auto"/>
            <w:vAlign w:val="center"/>
            <w:hideMark/>
          </w:tcPr>
          <w:p w14:paraId="6953F823" w14:textId="77777777"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1320</w:t>
            </w:r>
          </w:p>
        </w:tc>
        <w:tc>
          <w:tcPr>
            <w:tcW w:w="647" w:type="pct"/>
            <w:tcBorders>
              <w:top w:val="nil"/>
              <w:left w:val="nil"/>
              <w:bottom w:val="single" w:sz="4" w:space="0" w:color="auto"/>
              <w:right w:val="nil"/>
            </w:tcBorders>
            <w:shd w:val="clear" w:color="auto" w:fill="auto"/>
            <w:vAlign w:val="center"/>
            <w:hideMark/>
          </w:tcPr>
          <w:p w14:paraId="55634BD4" w14:textId="77777777"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0.86</w:t>
            </w:r>
          </w:p>
        </w:tc>
      </w:tr>
      <w:tr w:rsidR="00162B16" w:rsidRPr="00162B16" w14:paraId="41C35269" w14:textId="77777777" w:rsidTr="002C3233">
        <w:tc>
          <w:tcPr>
            <w:tcW w:w="460" w:type="pct"/>
            <w:tcBorders>
              <w:top w:val="single" w:sz="4" w:space="0" w:color="auto"/>
              <w:left w:val="nil"/>
              <w:bottom w:val="single" w:sz="8" w:space="0" w:color="auto"/>
              <w:right w:val="nil"/>
            </w:tcBorders>
          </w:tcPr>
          <w:p w14:paraId="097D3518" w14:textId="77777777" w:rsidR="006345E6" w:rsidRPr="00162B16" w:rsidRDefault="006345E6" w:rsidP="00831911">
            <w:pPr>
              <w:autoSpaceDE w:val="0"/>
              <w:autoSpaceDN w:val="0"/>
              <w:adjustRightInd w:val="0"/>
              <w:snapToGrid w:val="0"/>
              <w:spacing w:line="240" w:lineRule="auto"/>
              <w:jc w:val="center"/>
              <w:rPr>
                <w:noProof w:val="0"/>
                <w:color w:val="auto"/>
              </w:rPr>
            </w:pPr>
          </w:p>
        </w:tc>
        <w:tc>
          <w:tcPr>
            <w:tcW w:w="460" w:type="pct"/>
            <w:gridSpan w:val="2"/>
            <w:tcBorders>
              <w:top w:val="single" w:sz="4" w:space="0" w:color="auto"/>
              <w:left w:val="nil"/>
              <w:bottom w:val="single" w:sz="8" w:space="0" w:color="auto"/>
              <w:right w:val="nil"/>
            </w:tcBorders>
          </w:tcPr>
          <w:p w14:paraId="16F57588" w14:textId="77777777" w:rsidR="006345E6" w:rsidRPr="00162B16" w:rsidRDefault="006345E6" w:rsidP="00831911">
            <w:pPr>
              <w:autoSpaceDE w:val="0"/>
              <w:autoSpaceDN w:val="0"/>
              <w:adjustRightInd w:val="0"/>
              <w:snapToGrid w:val="0"/>
              <w:spacing w:line="240" w:lineRule="auto"/>
              <w:jc w:val="center"/>
              <w:rPr>
                <w:noProof w:val="0"/>
                <w:color w:val="auto"/>
              </w:rPr>
            </w:pPr>
          </w:p>
        </w:tc>
        <w:tc>
          <w:tcPr>
            <w:tcW w:w="3041" w:type="pct"/>
            <w:gridSpan w:val="7"/>
            <w:tcBorders>
              <w:top w:val="single" w:sz="4" w:space="0" w:color="auto"/>
              <w:left w:val="nil"/>
              <w:bottom w:val="single" w:sz="8" w:space="0" w:color="auto"/>
              <w:right w:val="nil"/>
            </w:tcBorders>
            <w:shd w:val="clear" w:color="auto" w:fill="auto"/>
            <w:vAlign w:val="center"/>
            <w:hideMark/>
          </w:tcPr>
          <w:p w14:paraId="25915740" w14:textId="3E09BF1C" w:rsidR="006345E6" w:rsidRPr="00162B16" w:rsidRDefault="006345E6" w:rsidP="00831911">
            <w:pPr>
              <w:autoSpaceDE w:val="0"/>
              <w:autoSpaceDN w:val="0"/>
              <w:adjustRightInd w:val="0"/>
              <w:snapToGrid w:val="0"/>
              <w:spacing w:line="240" w:lineRule="auto"/>
              <w:jc w:val="center"/>
              <w:rPr>
                <w:noProof w:val="0"/>
                <w:color w:val="auto"/>
              </w:rPr>
            </w:pPr>
            <w:r w:rsidRPr="00162B16">
              <w:rPr>
                <w:noProof w:val="0"/>
                <w:color w:val="auto"/>
              </w:rPr>
              <w:t xml:space="preserve">* </w:t>
            </w:r>
            <w:proofErr w:type="gramStart"/>
            <w:r w:rsidRPr="00162B16">
              <w:rPr>
                <w:noProof w:val="0"/>
                <w:color w:val="auto"/>
              </w:rPr>
              <w:t>indicates</w:t>
            </w:r>
            <w:proofErr w:type="gramEnd"/>
            <w:r w:rsidRPr="00162B16">
              <w:rPr>
                <w:noProof w:val="0"/>
                <w:color w:val="auto"/>
              </w:rPr>
              <w:t xml:space="preserve"> significance at 0.05 level</w:t>
            </w:r>
          </w:p>
          <w:p w14:paraId="679F1291" w14:textId="2B768B82" w:rsidR="006345E6" w:rsidRPr="00162B16" w:rsidRDefault="006345E6" w:rsidP="00082224">
            <w:pPr>
              <w:autoSpaceDE w:val="0"/>
              <w:autoSpaceDN w:val="0"/>
              <w:adjustRightInd w:val="0"/>
              <w:snapToGrid w:val="0"/>
              <w:spacing w:line="240" w:lineRule="auto"/>
              <w:jc w:val="center"/>
              <w:rPr>
                <w:noProof w:val="0"/>
                <w:color w:val="auto"/>
                <w:sz w:val="18"/>
                <w:szCs w:val="18"/>
              </w:rPr>
            </w:pPr>
            <w:r w:rsidRPr="00162B16">
              <w:rPr>
                <w:noProof w:val="0"/>
                <w:color w:val="auto"/>
                <w:sz w:val="18"/>
                <w:szCs w:val="18"/>
              </w:rPr>
              <w:t>MET = metabolic equivalent</w:t>
            </w:r>
          </w:p>
        </w:tc>
        <w:tc>
          <w:tcPr>
            <w:tcW w:w="393" w:type="pct"/>
            <w:tcBorders>
              <w:top w:val="single" w:sz="4" w:space="0" w:color="auto"/>
              <w:left w:val="nil"/>
              <w:bottom w:val="single" w:sz="8" w:space="0" w:color="auto"/>
              <w:right w:val="nil"/>
            </w:tcBorders>
            <w:shd w:val="clear" w:color="auto" w:fill="auto"/>
            <w:vAlign w:val="center"/>
          </w:tcPr>
          <w:p w14:paraId="5C98282E" w14:textId="77777777" w:rsidR="006345E6" w:rsidRPr="00162B16" w:rsidRDefault="006345E6" w:rsidP="00831911">
            <w:pPr>
              <w:autoSpaceDE w:val="0"/>
              <w:autoSpaceDN w:val="0"/>
              <w:adjustRightInd w:val="0"/>
              <w:snapToGrid w:val="0"/>
              <w:spacing w:line="240" w:lineRule="auto"/>
              <w:jc w:val="center"/>
              <w:rPr>
                <w:noProof w:val="0"/>
                <w:color w:val="auto"/>
              </w:rPr>
            </w:pPr>
          </w:p>
        </w:tc>
        <w:tc>
          <w:tcPr>
            <w:tcW w:w="647" w:type="pct"/>
            <w:tcBorders>
              <w:top w:val="single" w:sz="4" w:space="0" w:color="auto"/>
              <w:left w:val="nil"/>
              <w:bottom w:val="single" w:sz="8" w:space="0" w:color="auto"/>
              <w:right w:val="nil"/>
            </w:tcBorders>
            <w:shd w:val="clear" w:color="auto" w:fill="auto"/>
            <w:vAlign w:val="center"/>
          </w:tcPr>
          <w:p w14:paraId="544A4EF1" w14:textId="77777777" w:rsidR="006345E6" w:rsidRPr="00162B16" w:rsidRDefault="006345E6" w:rsidP="00831911">
            <w:pPr>
              <w:autoSpaceDE w:val="0"/>
              <w:autoSpaceDN w:val="0"/>
              <w:adjustRightInd w:val="0"/>
              <w:snapToGrid w:val="0"/>
              <w:spacing w:line="240" w:lineRule="auto"/>
              <w:jc w:val="center"/>
              <w:rPr>
                <w:noProof w:val="0"/>
                <w:color w:val="auto"/>
              </w:rPr>
            </w:pPr>
          </w:p>
        </w:tc>
      </w:tr>
    </w:tbl>
    <w:p w14:paraId="1F2FA4DC" w14:textId="77777777" w:rsidR="003215C7" w:rsidRPr="00162B16" w:rsidRDefault="003215C7" w:rsidP="00831911">
      <w:pPr>
        <w:pStyle w:val="MDPI41tablecaption"/>
        <w:ind w:left="425" w:right="425"/>
        <w:jc w:val="center"/>
        <w:rPr>
          <w:b/>
          <w:color w:val="auto"/>
        </w:rPr>
      </w:pPr>
    </w:p>
    <w:p w14:paraId="595D4D6F" w14:textId="77777777" w:rsidR="003215C7" w:rsidRPr="00162B16" w:rsidRDefault="003215C7" w:rsidP="00831911">
      <w:pPr>
        <w:pStyle w:val="MDPI41tablecaption"/>
        <w:ind w:left="425" w:right="425"/>
        <w:jc w:val="center"/>
        <w:rPr>
          <w:b/>
          <w:color w:val="auto"/>
        </w:rPr>
      </w:pPr>
    </w:p>
    <w:p w14:paraId="38C285D8" w14:textId="77777777" w:rsidR="003215C7" w:rsidRPr="00162B16" w:rsidRDefault="003215C7" w:rsidP="00831911">
      <w:pPr>
        <w:pStyle w:val="MDPI41tablecaption"/>
        <w:ind w:left="425" w:right="425"/>
        <w:jc w:val="center"/>
        <w:rPr>
          <w:b/>
          <w:color w:val="auto"/>
        </w:rPr>
      </w:pPr>
    </w:p>
    <w:p w14:paraId="54C32B3E" w14:textId="2EE59644" w:rsidR="00831911" w:rsidRPr="00162B16" w:rsidRDefault="00831911" w:rsidP="00831911">
      <w:pPr>
        <w:pStyle w:val="MDPI41tablecaption"/>
        <w:ind w:left="425" w:right="425"/>
        <w:jc w:val="center"/>
        <w:rPr>
          <w:color w:val="auto"/>
        </w:rPr>
      </w:pPr>
      <w:r w:rsidRPr="00162B16">
        <w:rPr>
          <w:b/>
          <w:color w:val="auto"/>
        </w:rPr>
        <w:t xml:space="preserve">Table 3. </w:t>
      </w:r>
      <w:r w:rsidRPr="00162B16">
        <w:rPr>
          <w:color w:val="auto"/>
        </w:rPr>
        <w:t>Mean PA at different intensities comparing employed and retired individuals.</w:t>
      </w:r>
    </w:p>
    <w:tbl>
      <w:tblPr>
        <w:tblStyle w:val="TableGrid"/>
        <w:tblW w:w="104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826"/>
        <w:gridCol w:w="2386"/>
        <w:gridCol w:w="639"/>
        <w:gridCol w:w="2672"/>
        <w:gridCol w:w="639"/>
        <w:gridCol w:w="2631"/>
        <w:gridCol w:w="672"/>
      </w:tblGrid>
      <w:tr w:rsidR="00162B16" w:rsidRPr="00162B16" w14:paraId="0509B24C" w14:textId="77777777" w:rsidTr="00831911">
        <w:trPr>
          <w:jc w:val="center"/>
        </w:trPr>
        <w:tc>
          <w:tcPr>
            <w:tcW w:w="827" w:type="dxa"/>
            <w:tcBorders>
              <w:top w:val="single" w:sz="8" w:space="0" w:color="auto"/>
              <w:left w:val="nil"/>
              <w:bottom w:val="single" w:sz="4" w:space="0" w:color="auto"/>
              <w:right w:val="nil"/>
            </w:tcBorders>
            <w:shd w:val="clear" w:color="auto" w:fill="auto"/>
            <w:vAlign w:val="center"/>
          </w:tcPr>
          <w:p w14:paraId="099193B8" w14:textId="77777777" w:rsidR="00343B0B" w:rsidRPr="00162B16" w:rsidRDefault="00343B0B" w:rsidP="00831911">
            <w:pPr>
              <w:autoSpaceDE w:val="0"/>
              <w:autoSpaceDN w:val="0"/>
              <w:adjustRightInd w:val="0"/>
              <w:snapToGrid w:val="0"/>
              <w:spacing w:line="240" w:lineRule="auto"/>
              <w:jc w:val="center"/>
              <w:rPr>
                <w:b/>
                <w:noProof w:val="0"/>
                <w:color w:val="auto"/>
              </w:rPr>
            </w:pPr>
          </w:p>
        </w:tc>
        <w:tc>
          <w:tcPr>
            <w:tcW w:w="2386" w:type="dxa"/>
            <w:tcBorders>
              <w:top w:val="single" w:sz="8" w:space="0" w:color="auto"/>
              <w:left w:val="nil"/>
              <w:bottom w:val="single" w:sz="4" w:space="0" w:color="auto"/>
              <w:right w:val="nil"/>
            </w:tcBorders>
            <w:shd w:val="clear" w:color="auto" w:fill="auto"/>
            <w:vAlign w:val="center"/>
            <w:hideMark/>
          </w:tcPr>
          <w:p w14:paraId="30DCBB68" w14:textId="77777777" w:rsidR="00343B0B" w:rsidRPr="00162B16" w:rsidRDefault="00343B0B" w:rsidP="00831911">
            <w:pPr>
              <w:autoSpaceDE w:val="0"/>
              <w:autoSpaceDN w:val="0"/>
              <w:adjustRightInd w:val="0"/>
              <w:snapToGrid w:val="0"/>
              <w:spacing w:line="240" w:lineRule="auto"/>
              <w:jc w:val="center"/>
              <w:rPr>
                <w:b/>
                <w:noProof w:val="0"/>
                <w:color w:val="auto"/>
              </w:rPr>
            </w:pPr>
            <w:r w:rsidRPr="00162B16">
              <w:rPr>
                <w:b/>
                <w:noProof w:val="0"/>
                <w:color w:val="auto"/>
              </w:rPr>
              <w:t>Mean total walk MET min per week</w:t>
            </w:r>
          </w:p>
        </w:tc>
        <w:tc>
          <w:tcPr>
            <w:tcW w:w="639" w:type="dxa"/>
            <w:tcBorders>
              <w:top w:val="single" w:sz="8" w:space="0" w:color="auto"/>
              <w:left w:val="nil"/>
              <w:bottom w:val="single" w:sz="4" w:space="0" w:color="auto"/>
              <w:right w:val="nil"/>
            </w:tcBorders>
            <w:shd w:val="clear" w:color="auto" w:fill="auto"/>
            <w:vAlign w:val="center"/>
            <w:hideMark/>
          </w:tcPr>
          <w:p w14:paraId="1F0E5C26" w14:textId="77777777" w:rsidR="00343B0B" w:rsidRPr="00162B16" w:rsidRDefault="00343B0B" w:rsidP="00831911">
            <w:pPr>
              <w:autoSpaceDE w:val="0"/>
              <w:autoSpaceDN w:val="0"/>
              <w:adjustRightInd w:val="0"/>
              <w:snapToGrid w:val="0"/>
              <w:spacing w:line="240" w:lineRule="auto"/>
              <w:jc w:val="center"/>
              <w:rPr>
                <w:b/>
                <w:noProof w:val="0"/>
                <w:color w:val="auto"/>
              </w:rPr>
            </w:pPr>
            <w:r w:rsidRPr="00162B16">
              <w:rPr>
                <w:b/>
                <w:noProof w:val="0"/>
                <w:color w:val="auto"/>
              </w:rPr>
              <w:t>P Value</w:t>
            </w:r>
          </w:p>
        </w:tc>
        <w:tc>
          <w:tcPr>
            <w:tcW w:w="2672" w:type="dxa"/>
            <w:tcBorders>
              <w:top w:val="single" w:sz="8" w:space="0" w:color="auto"/>
              <w:left w:val="nil"/>
              <w:bottom w:val="single" w:sz="4" w:space="0" w:color="auto"/>
              <w:right w:val="nil"/>
            </w:tcBorders>
            <w:shd w:val="clear" w:color="auto" w:fill="auto"/>
            <w:vAlign w:val="center"/>
            <w:hideMark/>
          </w:tcPr>
          <w:p w14:paraId="04F1EFB5" w14:textId="77777777" w:rsidR="00343B0B" w:rsidRPr="00162B16" w:rsidRDefault="00343B0B" w:rsidP="00831911">
            <w:pPr>
              <w:autoSpaceDE w:val="0"/>
              <w:autoSpaceDN w:val="0"/>
              <w:adjustRightInd w:val="0"/>
              <w:snapToGrid w:val="0"/>
              <w:spacing w:line="240" w:lineRule="auto"/>
              <w:jc w:val="center"/>
              <w:rPr>
                <w:b/>
                <w:noProof w:val="0"/>
                <w:color w:val="auto"/>
              </w:rPr>
            </w:pPr>
            <w:r w:rsidRPr="00162B16">
              <w:rPr>
                <w:b/>
                <w:noProof w:val="0"/>
                <w:color w:val="auto"/>
              </w:rPr>
              <w:t>Mean total moderate MET min per week</w:t>
            </w:r>
          </w:p>
        </w:tc>
        <w:tc>
          <w:tcPr>
            <w:tcW w:w="639" w:type="dxa"/>
            <w:tcBorders>
              <w:top w:val="single" w:sz="8" w:space="0" w:color="auto"/>
              <w:left w:val="nil"/>
              <w:bottom w:val="single" w:sz="4" w:space="0" w:color="auto"/>
              <w:right w:val="nil"/>
            </w:tcBorders>
            <w:shd w:val="clear" w:color="auto" w:fill="auto"/>
            <w:vAlign w:val="center"/>
            <w:hideMark/>
          </w:tcPr>
          <w:p w14:paraId="50859452" w14:textId="77777777" w:rsidR="00343B0B" w:rsidRPr="00162B16" w:rsidRDefault="00343B0B" w:rsidP="00831911">
            <w:pPr>
              <w:autoSpaceDE w:val="0"/>
              <w:autoSpaceDN w:val="0"/>
              <w:adjustRightInd w:val="0"/>
              <w:snapToGrid w:val="0"/>
              <w:spacing w:line="240" w:lineRule="auto"/>
              <w:jc w:val="center"/>
              <w:rPr>
                <w:b/>
                <w:noProof w:val="0"/>
                <w:color w:val="auto"/>
              </w:rPr>
            </w:pPr>
            <w:r w:rsidRPr="00162B16">
              <w:rPr>
                <w:b/>
                <w:noProof w:val="0"/>
                <w:color w:val="auto"/>
              </w:rPr>
              <w:t>P Value</w:t>
            </w:r>
          </w:p>
        </w:tc>
        <w:tc>
          <w:tcPr>
            <w:tcW w:w="2631" w:type="dxa"/>
            <w:tcBorders>
              <w:top w:val="single" w:sz="8" w:space="0" w:color="auto"/>
              <w:left w:val="nil"/>
              <w:bottom w:val="single" w:sz="4" w:space="0" w:color="auto"/>
              <w:right w:val="nil"/>
            </w:tcBorders>
            <w:shd w:val="clear" w:color="auto" w:fill="auto"/>
            <w:vAlign w:val="center"/>
            <w:hideMark/>
          </w:tcPr>
          <w:p w14:paraId="2F97F604" w14:textId="77777777" w:rsidR="00343B0B" w:rsidRPr="00162B16" w:rsidRDefault="00343B0B" w:rsidP="00831911">
            <w:pPr>
              <w:autoSpaceDE w:val="0"/>
              <w:autoSpaceDN w:val="0"/>
              <w:adjustRightInd w:val="0"/>
              <w:snapToGrid w:val="0"/>
              <w:spacing w:line="240" w:lineRule="auto"/>
              <w:jc w:val="center"/>
              <w:rPr>
                <w:b/>
                <w:noProof w:val="0"/>
                <w:color w:val="auto"/>
              </w:rPr>
            </w:pPr>
            <w:r w:rsidRPr="00162B16">
              <w:rPr>
                <w:b/>
                <w:noProof w:val="0"/>
                <w:color w:val="auto"/>
              </w:rPr>
              <w:t>Mean total vigorous MET min per week</w:t>
            </w:r>
          </w:p>
        </w:tc>
        <w:tc>
          <w:tcPr>
            <w:tcW w:w="672" w:type="dxa"/>
            <w:tcBorders>
              <w:top w:val="single" w:sz="8" w:space="0" w:color="auto"/>
              <w:left w:val="nil"/>
              <w:bottom w:val="single" w:sz="4" w:space="0" w:color="auto"/>
              <w:right w:val="nil"/>
            </w:tcBorders>
            <w:shd w:val="clear" w:color="auto" w:fill="auto"/>
            <w:vAlign w:val="center"/>
            <w:hideMark/>
          </w:tcPr>
          <w:p w14:paraId="73C5C454" w14:textId="77777777" w:rsidR="00343B0B" w:rsidRPr="00162B16" w:rsidRDefault="00343B0B" w:rsidP="00831911">
            <w:pPr>
              <w:autoSpaceDE w:val="0"/>
              <w:autoSpaceDN w:val="0"/>
              <w:adjustRightInd w:val="0"/>
              <w:snapToGrid w:val="0"/>
              <w:spacing w:line="240" w:lineRule="auto"/>
              <w:jc w:val="center"/>
              <w:rPr>
                <w:b/>
                <w:noProof w:val="0"/>
                <w:color w:val="auto"/>
              </w:rPr>
            </w:pPr>
            <w:r w:rsidRPr="00162B16">
              <w:rPr>
                <w:b/>
                <w:noProof w:val="0"/>
                <w:color w:val="auto"/>
              </w:rPr>
              <w:t>P Value</w:t>
            </w:r>
          </w:p>
        </w:tc>
      </w:tr>
      <w:tr w:rsidR="00162B16" w:rsidRPr="00162B16" w14:paraId="699A6457" w14:textId="77777777" w:rsidTr="00831911">
        <w:trPr>
          <w:jc w:val="center"/>
        </w:trPr>
        <w:tc>
          <w:tcPr>
            <w:tcW w:w="827" w:type="dxa"/>
            <w:tcBorders>
              <w:top w:val="single" w:sz="4" w:space="0" w:color="auto"/>
            </w:tcBorders>
            <w:shd w:val="clear" w:color="auto" w:fill="auto"/>
            <w:vAlign w:val="center"/>
            <w:hideMark/>
          </w:tcPr>
          <w:p w14:paraId="6009B0C0"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2002</w:t>
            </w:r>
          </w:p>
        </w:tc>
        <w:tc>
          <w:tcPr>
            <w:tcW w:w="2386" w:type="dxa"/>
            <w:tcBorders>
              <w:top w:val="single" w:sz="4" w:space="0" w:color="auto"/>
            </w:tcBorders>
            <w:shd w:val="clear" w:color="auto" w:fill="auto"/>
            <w:vAlign w:val="center"/>
          </w:tcPr>
          <w:p w14:paraId="6ECE96DB" w14:textId="77777777" w:rsidR="00343B0B" w:rsidRPr="00162B16" w:rsidRDefault="00343B0B" w:rsidP="00831911">
            <w:pPr>
              <w:autoSpaceDE w:val="0"/>
              <w:autoSpaceDN w:val="0"/>
              <w:adjustRightInd w:val="0"/>
              <w:snapToGrid w:val="0"/>
              <w:spacing w:line="240" w:lineRule="auto"/>
              <w:jc w:val="center"/>
              <w:rPr>
                <w:noProof w:val="0"/>
                <w:color w:val="auto"/>
              </w:rPr>
            </w:pPr>
          </w:p>
        </w:tc>
        <w:tc>
          <w:tcPr>
            <w:tcW w:w="639" w:type="dxa"/>
            <w:tcBorders>
              <w:top w:val="single" w:sz="4" w:space="0" w:color="auto"/>
            </w:tcBorders>
            <w:shd w:val="clear" w:color="auto" w:fill="auto"/>
            <w:vAlign w:val="center"/>
          </w:tcPr>
          <w:p w14:paraId="067E38FD" w14:textId="77777777" w:rsidR="00343B0B" w:rsidRPr="00162B16" w:rsidRDefault="00343B0B" w:rsidP="00831911">
            <w:pPr>
              <w:autoSpaceDE w:val="0"/>
              <w:autoSpaceDN w:val="0"/>
              <w:adjustRightInd w:val="0"/>
              <w:snapToGrid w:val="0"/>
              <w:spacing w:line="240" w:lineRule="auto"/>
              <w:jc w:val="center"/>
              <w:rPr>
                <w:noProof w:val="0"/>
                <w:color w:val="auto"/>
              </w:rPr>
            </w:pPr>
          </w:p>
        </w:tc>
        <w:tc>
          <w:tcPr>
            <w:tcW w:w="2672" w:type="dxa"/>
            <w:tcBorders>
              <w:top w:val="single" w:sz="4" w:space="0" w:color="auto"/>
            </w:tcBorders>
            <w:shd w:val="clear" w:color="auto" w:fill="auto"/>
            <w:vAlign w:val="center"/>
          </w:tcPr>
          <w:p w14:paraId="335CE4E7" w14:textId="77777777" w:rsidR="00343B0B" w:rsidRPr="00162B16" w:rsidRDefault="00343B0B" w:rsidP="00831911">
            <w:pPr>
              <w:autoSpaceDE w:val="0"/>
              <w:autoSpaceDN w:val="0"/>
              <w:adjustRightInd w:val="0"/>
              <w:snapToGrid w:val="0"/>
              <w:spacing w:line="240" w:lineRule="auto"/>
              <w:jc w:val="center"/>
              <w:rPr>
                <w:noProof w:val="0"/>
                <w:color w:val="auto"/>
              </w:rPr>
            </w:pPr>
          </w:p>
        </w:tc>
        <w:tc>
          <w:tcPr>
            <w:tcW w:w="639" w:type="dxa"/>
            <w:tcBorders>
              <w:top w:val="single" w:sz="4" w:space="0" w:color="auto"/>
            </w:tcBorders>
            <w:shd w:val="clear" w:color="auto" w:fill="auto"/>
            <w:vAlign w:val="center"/>
          </w:tcPr>
          <w:p w14:paraId="0DC64517" w14:textId="77777777" w:rsidR="00343B0B" w:rsidRPr="00162B16" w:rsidRDefault="00343B0B" w:rsidP="00831911">
            <w:pPr>
              <w:autoSpaceDE w:val="0"/>
              <w:autoSpaceDN w:val="0"/>
              <w:adjustRightInd w:val="0"/>
              <w:snapToGrid w:val="0"/>
              <w:spacing w:line="240" w:lineRule="auto"/>
              <w:jc w:val="center"/>
              <w:rPr>
                <w:noProof w:val="0"/>
                <w:color w:val="auto"/>
              </w:rPr>
            </w:pPr>
          </w:p>
        </w:tc>
        <w:tc>
          <w:tcPr>
            <w:tcW w:w="2631" w:type="dxa"/>
            <w:tcBorders>
              <w:top w:val="single" w:sz="4" w:space="0" w:color="auto"/>
            </w:tcBorders>
            <w:shd w:val="clear" w:color="auto" w:fill="auto"/>
            <w:vAlign w:val="center"/>
          </w:tcPr>
          <w:p w14:paraId="0A554EA9" w14:textId="77777777" w:rsidR="00343B0B" w:rsidRPr="00162B16" w:rsidRDefault="00343B0B" w:rsidP="00831911">
            <w:pPr>
              <w:autoSpaceDE w:val="0"/>
              <w:autoSpaceDN w:val="0"/>
              <w:adjustRightInd w:val="0"/>
              <w:snapToGrid w:val="0"/>
              <w:spacing w:line="240" w:lineRule="auto"/>
              <w:jc w:val="center"/>
              <w:rPr>
                <w:noProof w:val="0"/>
                <w:color w:val="auto"/>
              </w:rPr>
            </w:pPr>
          </w:p>
        </w:tc>
        <w:tc>
          <w:tcPr>
            <w:tcW w:w="672" w:type="dxa"/>
            <w:tcBorders>
              <w:top w:val="single" w:sz="4" w:space="0" w:color="auto"/>
            </w:tcBorders>
            <w:shd w:val="clear" w:color="auto" w:fill="auto"/>
            <w:vAlign w:val="center"/>
          </w:tcPr>
          <w:p w14:paraId="05B771EE" w14:textId="77777777" w:rsidR="00343B0B" w:rsidRPr="00162B16" w:rsidRDefault="00343B0B" w:rsidP="00831911">
            <w:pPr>
              <w:autoSpaceDE w:val="0"/>
              <w:autoSpaceDN w:val="0"/>
              <w:adjustRightInd w:val="0"/>
              <w:snapToGrid w:val="0"/>
              <w:spacing w:line="240" w:lineRule="auto"/>
              <w:jc w:val="center"/>
              <w:rPr>
                <w:noProof w:val="0"/>
                <w:color w:val="auto"/>
              </w:rPr>
            </w:pPr>
          </w:p>
        </w:tc>
      </w:tr>
      <w:tr w:rsidR="00162B16" w:rsidRPr="00162B16" w14:paraId="7FE38726" w14:textId="77777777" w:rsidTr="00831911">
        <w:trPr>
          <w:jc w:val="center"/>
        </w:trPr>
        <w:tc>
          <w:tcPr>
            <w:tcW w:w="827" w:type="dxa"/>
            <w:shd w:val="clear" w:color="auto" w:fill="auto"/>
            <w:vAlign w:val="center"/>
            <w:hideMark/>
          </w:tcPr>
          <w:p w14:paraId="6308563D"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Employed</w:t>
            </w:r>
          </w:p>
        </w:tc>
        <w:tc>
          <w:tcPr>
            <w:tcW w:w="2386" w:type="dxa"/>
            <w:shd w:val="clear" w:color="auto" w:fill="auto"/>
            <w:vAlign w:val="center"/>
            <w:hideMark/>
          </w:tcPr>
          <w:p w14:paraId="51E14CEF"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446</w:t>
            </w:r>
          </w:p>
        </w:tc>
        <w:tc>
          <w:tcPr>
            <w:tcW w:w="639" w:type="dxa"/>
            <w:vMerge w:val="restart"/>
            <w:shd w:val="clear" w:color="auto" w:fill="auto"/>
            <w:vAlign w:val="center"/>
            <w:hideMark/>
          </w:tcPr>
          <w:p w14:paraId="4B514072"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0.26</w:t>
            </w:r>
          </w:p>
        </w:tc>
        <w:tc>
          <w:tcPr>
            <w:tcW w:w="2672" w:type="dxa"/>
            <w:shd w:val="clear" w:color="auto" w:fill="auto"/>
            <w:vAlign w:val="center"/>
            <w:hideMark/>
          </w:tcPr>
          <w:p w14:paraId="0722242B"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459</w:t>
            </w:r>
          </w:p>
        </w:tc>
        <w:tc>
          <w:tcPr>
            <w:tcW w:w="639" w:type="dxa"/>
            <w:vMerge w:val="restart"/>
            <w:shd w:val="clear" w:color="auto" w:fill="auto"/>
            <w:vAlign w:val="center"/>
            <w:hideMark/>
          </w:tcPr>
          <w:p w14:paraId="43D2356D"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0.75</w:t>
            </w:r>
          </w:p>
        </w:tc>
        <w:tc>
          <w:tcPr>
            <w:tcW w:w="2631" w:type="dxa"/>
            <w:shd w:val="clear" w:color="auto" w:fill="auto"/>
            <w:vAlign w:val="center"/>
            <w:hideMark/>
          </w:tcPr>
          <w:p w14:paraId="72586C17"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485</w:t>
            </w:r>
          </w:p>
        </w:tc>
        <w:tc>
          <w:tcPr>
            <w:tcW w:w="672" w:type="dxa"/>
            <w:vMerge w:val="restart"/>
            <w:shd w:val="clear" w:color="auto" w:fill="auto"/>
            <w:vAlign w:val="center"/>
            <w:hideMark/>
          </w:tcPr>
          <w:p w14:paraId="453791DC"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&lt;0.001*</w:t>
            </w:r>
          </w:p>
        </w:tc>
      </w:tr>
      <w:tr w:rsidR="00162B16" w:rsidRPr="00162B16" w14:paraId="1CAB0EBB" w14:textId="77777777" w:rsidTr="00831911">
        <w:trPr>
          <w:jc w:val="center"/>
        </w:trPr>
        <w:tc>
          <w:tcPr>
            <w:tcW w:w="827" w:type="dxa"/>
            <w:shd w:val="clear" w:color="auto" w:fill="auto"/>
            <w:vAlign w:val="center"/>
            <w:hideMark/>
          </w:tcPr>
          <w:p w14:paraId="56C4C207"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Retired</w:t>
            </w:r>
          </w:p>
        </w:tc>
        <w:tc>
          <w:tcPr>
            <w:tcW w:w="2386" w:type="dxa"/>
            <w:shd w:val="clear" w:color="auto" w:fill="auto"/>
            <w:vAlign w:val="center"/>
            <w:hideMark/>
          </w:tcPr>
          <w:p w14:paraId="55545EE2"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465</w:t>
            </w:r>
          </w:p>
        </w:tc>
        <w:tc>
          <w:tcPr>
            <w:tcW w:w="639" w:type="dxa"/>
            <w:vMerge/>
            <w:shd w:val="clear" w:color="auto" w:fill="auto"/>
            <w:vAlign w:val="center"/>
            <w:hideMark/>
          </w:tcPr>
          <w:p w14:paraId="20C8E3DD" w14:textId="77777777" w:rsidR="00343B0B" w:rsidRPr="00162B16" w:rsidRDefault="00343B0B" w:rsidP="00831911">
            <w:pPr>
              <w:autoSpaceDE w:val="0"/>
              <w:autoSpaceDN w:val="0"/>
              <w:adjustRightInd w:val="0"/>
              <w:snapToGrid w:val="0"/>
              <w:spacing w:line="240" w:lineRule="auto"/>
              <w:jc w:val="center"/>
              <w:rPr>
                <w:noProof w:val="0"/>
                <w:color w:val="auto"/>
                <w:lang w:eastAsia="en-US"/>
              </w:rPr>
            </w:pPr>
          </w:p>
        </w:tc>
        <w:tc>
          <w:tcPr>
            <w:tcW w:w="2672" w:type="dxa"/>
            <w:shd w:val="clear" w:color="auto" w:fill="auto"/>
            <w:vAlign w:val="center"/>
            <w:hideMark/>
          </w:tcPr>
          <w:p w14:paraId="55DA4E01"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455</w:t>
            </w:r>
          </w:p>
        </w:tc>
        <w:tc>
          <w:tcPr>
            <w:tcW w:w="639" w:type="dxa"/>
            <w:vMerge/>
            <w:shd w:val="clear" w:color="auto" w:fill="auto"/>
            <w:vAlign w:val="center"/>
            <w:hideMark/>
          </w:tcPr>
          <w:p w14:paraId="32EF6976" w14:textId="77777777" w:rsidR="00343B0B" w:rsidRPr="00162B16" w:rsidRDefault="00343B0B" w:rsidP="00831911">
            <w:pPr>
              <w:autoSpaceDE w:val="0"/>
              <w:autoSpaceDN w:val="0"/>
              <w:adjustRightInd w:val="0"/>
              <w:snapToGrid w:val="0"/>
              <w:spacing w:line="240" w:lineRule="auto"/>
              <w:jc w:val="center"/>
              <w:rPr>
                <w:noProof w:val="0"/>
                <w:color w:val="auto"/>
                <w:lang w:eastAsia="en-US"/>
              </w:rPr>
            </w:pPr>
          </w:p>
        </w:tc>
        <w:tc>
          <w:tcPr>
            <w:tcW w:w="2631" w:type="dxa"/>
            <w:shd w:val="clear" w:color="auto" w:fill="auto"/>
            <w:vAlign w:val="center"/>
            <w:hideMark/>
          </w:tcPr>
          <w:p w14:paraId="25AD9954"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432</w:t>
            </w:r>
          </w:p>
        </w:tc>
        <w:tc>
          <w:tcPr>
            <w:tcW w:w="672" w:type="dxa"/>
            <w:vMerge/>
            <w:shd w:val="clear" w:color="auto" w:fill="auto"/>
            <w:vAlign w:val="center"/>
            <w:hideMark/>
          </w:tcPr>
          <w:p w14:paraId="0FDFED9B" w14:textId="77777777" w:rsidR="00343B0B" w:rsidRPr="00162B16" w:rsidRDefault="00343B0B" w:rsidP="00831911">
            <w:pPr>
              <w:autoSpaceDE w:val="0"/>
              <w:autoSpaceDN w:val="0"/>
              <w:adjustRightInd w:val="0"/>
              <w:snapToGrid w:val="0"/>
              <w:spacing w:line="240" w:lineRule="auto"/>
              <w:jc w:val="center"/>
              <w:rPr>
                <w:noProof w:val="0"/>
                <w:color w:val="auto"/>
                <w:lang w:eastAsia="en-US"/>
              </w:rPr>
            </w:pPr>
          </w:p>
        </w:tc>
      </w:tr>
      <w:tr w:rsidR="00162B16" w:rsidRPr="00162B16" w14:paraId="350DA737" w14:textId="77777777" w:rsidTr="00831911">
        <w:trPr>
          <w:jc w:val="center"/>
        </w:trPr>
        <w:tc>
          <w:tcPr>
            <w:tcW w:w="827" w:type="dxa"/>
            <w:shd w:val="clear" w:color="auto" w:fill="auto"/>
            <w:vAlign w:val="center"/>
          </w:tcPr>
          <w:p w14:paraId="6960D0FB" w14:textId="77777777" w:rsidR="00343B0B" w:rsidRPr="00162B16" w:rsidRDefault="00343B0B" w:rsidP="00831911">
            <w:pPr>
              <w:autoSpaceDE w:val="0"/>
              <w:autoSpaceDN w:val="0"/>
              <w:adjustRightInd w:val="0"/>
              <w:snapToGrid w:val="0"/>
              <w:spacing w:line="240" w:lineRule="auto"/>
              <w:jc w:val="center"/>
              <w:rPr>
                <w:noProof w:val="0"/>
                <w:color w:val="auto"/>
              </w:rPr>
            </w:pPr>
          </w:p>
          <w:p w14:paraId="423E1E1A"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2008</w:t>
            </w:r>
          </w:p>
        </w:tc>
        <w:tc>
          <w:tcPr>
            <w:tcW w:w="2386" w:type="dxa"/>
            <w:shd w:val="clear" w:color="auto" w:fill="auto"/>
            <w:vAlign w:val="center"/>
          </w:tcPr>
          <w:p w14:paraId="64159B04" w14:textId="77777777" w:rsidR="00343B0B" w:rsidRPr="00162B16" w:rsidRDefault="00343B0B" w:rsidP="00831911">
            <w:pPr>
              <w:autoSpaceDE w:val="0"/>
              <w:autoSpaceDN w:val="0"/>
              <w:adjustRightInd w:val="0"/>
              <w:snapToGrid w:val="0"/>
              <w:spacing w:line="240" w:lineRule="auto"/>
              <w:jc w:val="center"/>
              <w:rPr>
                <w:noProof w:val="0"/>
                <w:color w:val="auto"/>
              </w:rPr>
            </w:pPr>
          </w:p>
        </w:tc>
        <w:tc>
          <w:tcPr>
            <w:tcW w:w="639" w:type="dxa"/>
            <w:shd w:val="clear" w:color="auto" w:fill="auto"/>
            <w:vAlign w:val="center"/>
          </w:tcPr>
          <w:p w14:paraId="2BE8E4E9" w14:textId="77777777" w:rsidR="00343B0B" w:rsidRPr="00162B16" w:rsidRDefault="00343B0B" w:rsidP="00831911">
            <w:pPr>
              <w:autoSpaceDE w:val="0"/>
              <w:autoSpaceDN w:val="0"/>
              <w:adjustRightInd w:val="0"/>
              <w:snapToGrid w:val="0"/>
              <w:spacing w:line="240" w:lineRule="auto"/>
              <w:jc w:val="center"/>
              <w:rPr>
                <w:noProof w:val="0"/>
                <w:color w:val="auto"/>
              </w:rPr>
            </w:pPr>
          </w:p>
        </w:tc>
        <w:tc>
          <w:tcPr>
            <w:tcW w:w="2672" w:type="dxa"/>
            <w:shd w:val="clear" w:color="auto" w:fill="auto"/>
            <w:vAlign w:val="center"/>
          </w:tcPr>
          <w:p w14:paraId="20A28D2C" w14:textId="77777777" w:rsidR="00343B0B" w:rsidRPr="00162B16" w:rsidRDefault="00343B0B" w:rsidP="00831911">
            <w:pPr>
              <w:autoSpaceDE w:val="0"/>
              <w:autoSpaceDN w:val="0"/>
              <w:adjustRightInd w:val="0"/>
              <w:snapToGrid w:val="0"/>
              <w:spacing w:line="240" w:lineRule="auto"/>
              <w:jc w:val="center"/>
              <w:rPr>
                <w:noProof w:val="0"/>
                <w:color w:val="auto"/>
              </w:rPr>
            </w:pPr>
          </w:p>
        </w:tc>
        <w:tc>
          <w:tcPr>
            <w:tcW w:w="639" w:type="dxa"/>
            <w:shd w:val="clear" w:color="auto" w:fill="auto"/>
            <w:vAlign w:val="center"/>
          </w:tcPr>
          <w:p w14:paraId="170E9240" w14:textId="77777777" w:rsidR="00343B0B" w:rsidRPr="00162B16" w:rsidRDefault="00343B0B" w:rsidP="00831911">
            <w:pPr>
              <w:autoSpaceDE w:val="0"/>
              <w:autoSpaceDN w:val="0"/>
              <w:adjustRightInd w:val="0"/>
              <w:snapToGrid w:val="0"/>
              <w:spacing w:line="240" w:lineRule="auto"/>
              <w:jc w:val="center"/>
              <w:rPr>
                <w:noProof w:val="0"/>
                <w:color w:val="auto"/>
              </w:rPr>
            </w:pPr>
          </w:p>
        </w:tc>
        <w:tc>
          <w:tcPr>
            <w:tcW w:w="2631" w:type="dxa"/>
            <w:shd w:val="clear" w:color="auto" w:fill="auto"/>
            <w:vAlign w:val="center"/>
          </w:tcPr>
          <w:p w14:paraId="250D5CBF" w14:textId="77777777" w:rsidR="00343B0B" w:rsidRPr="00162B16" w:rsidRDefault="00343B0B" w:rsidP="00831911">
            <w:pPr>
              <w:autoSpaceDE w:val="0"/>
              <w:autoSpaceDN w:val="0"/>
              <w:adjustRightInd w:val="0"/>
              <w:snapToGrid w:val="0"/>
              <w:spacing w:line="240" w:lineRule="auto"/>
              <w:jc w:val="center"/>
              <w:rPr>
                <w:noProof w:val="0"/>
                <w:color w:val="auto"/>
              </w:rPr>
            </w:pPr>
          </w:p>
        </w:tc>
        <w:tc>
          <w:tcPr>
            <w:tcW w:w="672" w:type="dxa"/>
            <w:shd w:val="clear" w:color="auto" w:fill="auto"/>
            <w:vAlign w:val="center"/>
          </w:tcPr>
          <w:p w14:paraId="0CABC768" w14:textId="77777777" w:rsidR="00343B0B" w:rsidRPr="00162B16" w:rsidRDefault="00343B0B" w:rsidP="00831911">
            <w:pPr>
              <w:autoSpaceDE w:val="0"/>
              <w:autoSpaceDN w:val="0"/>
              <w:adjustRightInd w:val="0"/>
              <w:snapToGrid w:val="0"/>
              <w:spacing w:line="240" w:lineRule="auto"/>
              <w:jc w:val="center"/>
              <w:rPr>
                <w:noProof w:val="0"/>
                <w:color w:val="auto"/>
              </w:rPr>
            </w:pPr>
          </w:p>
        </w:tc>
      </w:tr>
      <w:tr w:rsidR="00162B16" w:rsidRPr="00162B16" w14:paraId="5D6DCCC8" w14:textId="77777777" w:rsidTr="00831911">
        <w:trPr>
          <w:jc w:val="center"/>
        </w:trPr>
        <w:tc>
          <w:tcPr>
            <w:tcW w:w="827" w:type="dxa"/>
            <w:shd w:val="clear" w:color="auto" w:fill="auto"/>
            <w:vAlign w:val="center"/>
            <w:hideMark/>
          </w:tcPr>
          <w:p w14:paraId="67D4B8ED"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Employed</w:t>
            </w:r>
          </w:p>
        </w:tc>
        <w:tc>
          <w:tcPr>
            <w:tcW w:w="2386" w:type="dxa"/>
            <w:shd w:val="clear" w:color="auto" w:fill="auto"/>
            <w:vAlign w:val="center"/>
            <w:hideMark/>
          </w:tcPr>
          <w:p w14:paraId="66C75508"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386</w:t>
            </w:r>
          </w:p>
        </w:tc>
        <w:tc>
          <w:tcPr>
            <w:tcW w:w="639" w:type="dxa"/>
            <w:vMerge w:val="restart"/>
            <w:shd w:val="clear" w:color="auto" w:fill="auto"/>
            <w:vAlign w:val="center"/>
            <w:hideMark/>
          </w:tcPr>
          <w:p w14:paraId="0815F431"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0.21</w:t>
            </w:r>
          </w:p>
        </w:tc>
        <w:tc>
          <w:tcPr>
            <w:tcW w:w="2672" w:type="dxa"/>
            <w:shd w:val="clear" w:color="auto" w:fill="auto"/>
            <w:vAlign w:val="center"/>
            <w:hideMark/>
          </w:tcPr>
          <w:p w14:paraId="4D45BEF0"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407</w:t>
            </w:r>
          </w:p>
        </w:tc>
        <w:tc>
          <w:tcPr>
            <w:tcW w:w="639" w:type="dxa"/>
            <w:vMerge w:val="restart"/>
            <w:shd w:val="clear" w:color="auto" w:fill="auto"/>
            <w:vAlign w:val="center"/>
            <w:hideMark/>
          </w:tcPr>
          <w:p w14:paraId="07BACD71"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0.64</w:t>
            </w:r>
          </w:p>
        </w:tc>
        <w:tc>
          <w:tcPr>
            <w:tcW w:w="2631" w:type="dxa"/>
            <w:shd w:val="clear" w:color="auto" w:fill="auto"/>
            <w:vAlign w:val="center"/>
            <w:hideMark/>
          </w:tcPr>
          <w:p w14:paraId="246809C5"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405</w:t>
            </w:r>
          </w:p>
        </w:tc>
        <w:tc>
          <w:tcPr>
            <w:tcW w:w="672" w:type="dxa"/>
            <w:vMerge w:val="restart"/>
            <w:shd w:val="clear" w:color="auto" w:fill="auto"/>
            <w:vAlign w:val="center"/>
            <w:hideMark/>
          </w:tcPr>
          <w:p w14:paraId="464B9A5D"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0.02*</w:t>
            </w:r>
          </w:p>
        </w:tc>
      </w:tr>
      <w:tr w:rsidR="00162B16" w:rsidRPr="00162B16" w14:paraId="36037B66" w14:textId="77777777" w:rsidTr="00831911">
        <w:trPr>
          <w:jc w:val="center"/>
        </w:trPr>
        <w:tc>
          <w:tcPr>
            <w:tcW w:w="827" w:type="dxa"/>
            <w:shd w:val="clear" w:color="auto" w:fill="auto"/>
            <w:vAlign w:val="center"/>
            <w:hideMark/>
          </w:tcPr>
          <w:p w14:paraId="5855FD2E"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lastRenderedPageBreak/>
              <w:t>Retired</w:t>
            </w:r>
          </w:p>
        </w:tc>
        <w:tc>
          <w:tcPr>
            <w:tcW w:w="2386" w:type="dxa"/>
            <w:shd w:val="clear" w:color="auto" w:fill="auto"/>
            <w:vAlign w:val="center"/>
            <w:hideMark/>
          </w:tcPr>
          <w:p w14:paraId="75DEB675"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406</w:t>
            </w:r>
          </w:p>
        </w:tc>
        <w:tc>
          <w:tcPr>
            <w:tcW w:w="639" w:type="dxa"/>
            <w:vMerge/>
            <w:shd w:val="clear" w:color="auto" w:fill="auto"/>
            <w:vAlign w:val="center"/>
            <w:hideMark/>
          </w:tcPr>
          <w:p w14:paraId="7C0AA428" w14:textId="77777777" w:rsidR="00343B0B" w:rsidRPr="00162B16" w:rsidRDefault="00343B0B" w:rsidP="00831911">
            <w:pPr>
              <w:autoSpaceDE w:val="0"/>
              <w:autoSpaceDN w:val="0"/>
              <w:adjustRightInd w:val="0"/>
              <w:snapToGrid w:val="0"/>
              <w:spacing w:line="240" w:lineRule="auto"/>
              <w:jc w:val="center"/>
              <w:rPr>
                <w:noProof w:val="0"/>
                <w:color w:val="auto"/>
                <w:lang w:eastAsia="en-US"/>
              </w:rPr>
            </w:pPr>
          </w:p>
        </w:tc>
        <w:tc>
          <w:tcPr>
            <w:tcW w:w="2672" w:type="dxa"/>
            <w:shd w:val="clear" w:color="auto" w:fill="auto"/>
            <w:vAlign w:val="center"/>
            <w:hideMark/>
          </w:tcPr>
          <w:p w14:paraId="3F4883E6"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382</w:t>
            </w:r>
          </w:p>
        </w:tc>
        <w:tc>
          <w:tcPr>
            <w:tcW w:w="639" w:type="dxa"/>
            <w:vMerge/>
            <w:shd w:val="clear" w:color="auto" w:fill="auto"/>
            <w:vAlign w:val="center"/>
            <w:hideMark/>
          </w:tcPr>
          <w:p w14:paraId="5BF8E1A6" w14:textId="77777777" w:rsidR="00343B0B" w:rsidRPr="00162B16" w:rsidRDefault="00343B0B" w:rsidP="00831911">
            <w:pPr>
              <w:autoSpaceDE w:val="0"/>
              <w:autoSpaceDN w:val="0"/>
              <w:adjustRightInd w:val="0"/>
              <w:snapToGrid w:val="0"/>
              <w:spacing w:line="240" w:lineRule="auto"/>
              <w:jc w:val="center"/>
              <w:rPr>
                <w:noProof w:val="0"/>
                <w:color w:val="auto"/>
                <w:lang w:eastAsia="en-US"/>
              </w:rPr>
            </w:pPr>
          </w:p>
        </w:tc>
        <w:tc>
          <w:tcPr>
            <w:tcW w:w="2631" w:type="dxa"/>
            <w:shd w:val="clear" w:color="auto" w:fill="auto"/>
            <w:vAlign w:val="center"/>
            <w:hideMark/>
          </w:tcPr>
          <w:p w14:paraId="75F58800"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384</w:t>
            </w:r>
          </w:p>
        </w:tc>
        <w:tc>
          <w:tcPr>
            <w:tcW w:w="672" w:type="dxa"/>
            <w:vMerge/>
            <w:shd w:val="clear" w:color="auto" w:fill="auto"/>
            <w:vAlign w:val="center"/>
            <w:hideMark/>
          </w:tcPr>
          <w:p w14:paraId="676F5B03" w14:textId="77777777" w:rsidR="00343B0B" w:rsidRPr="00162B16" w:rsidRDefault="00343B0B" w:rsidP="00831911">
            <w:pPr>
              <w:autoSpaceDE w:val="0"/>
              <w:autoSpaceDN w:val="0"/>
              <w:adjustRightInd w:val="0"/>
              <w:snapToGrid w:val="0"/>
              <w:spacing w:line="240" w:lineRule="auto"/>
              <w:jc w:val="center"/>
              <w:rPr>
                <w:noProof w:val="0"/>
                <w:color w:val="auto"/>
                <w:lang w:eastAsia="en-US"/>
              </w:rPr>
            </w:pPr>
          </w:p>
        </w:tc>
      </w:tr>
      <w:tr w:rsidR="00162B16" w:rsidRPr="00162B16" w14:paraId="44ACFF8F" w14:textId="77777777" w:rsidTr="00831911">
        <w:trPr>
          <w:jc w:val="center"/>
        </w:trPr>
        <w:tc>
          <w:tcPr>
            <w:tcW w:w="827" w:type="dxa"/>
            <w:shd w:val="clear" w:color="auto" w:fill="auto"/>
            <w:vAlign w:val="center"/>
          </w:tcPr>
          <w:p w14:paraId="3EA1D4D1" w14:textId="77777777" w:rsidR="00343B0B" w:rsidRPr="00162B16" w:rsidRDefault="00343B0B" w:rsidP="00831911">
            <w:pPr>
              <w:autoSpaceDE w:val="0"/>
              <w:autoSpaceDN w:val="0"/>
              <w:adjustRightInd w:val="0"/>
              <w:snapToGrid w:val="0"/>
              <w:spacing w:line="240" w:lineRule="auto"/>
              <w:jc w:val="center"/>
              <w:rPr>
                <w:noProof w:val="0"/>
                <w:color w:val="auto"/>
              </w:rPr>
            </w:pPr>
          </w:p>
          <w:p w14:paraId="616E2AD1"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2014</w:t>
            </w:r>
          </w:p>
        </w:tc>
        <w:tc>
          <w:tcPr>
            <w:tcW w:w="2386" w:type="dxa"/>
            <w:shd w:val="clear" w:color="auto" w:fill="auto"/>
            <w:vAlign w:val="center"/>
          </w:tcPr>
          <w:p w14:paraId="5A6D8C69" w14:textId="77777777" w:rsidR="00343B0B" w:rsidRPr="00162B16" w:rsidRDefault="00343B0B" w:rsidP="00831911">
            <w:pPr>
              <w:autoSpaceDE w:val="0"/>
              <w:autoSpaceDN w:val="0"/>
              <w:adjustRightInd w:val="0"/>
              <w:snapToGrid w:val="0"/>
              <w:spacing w:line="240" w:lineRule="auto"/>
              <w:jc w:val="center"/>
              <w:rPr>
                <w:noProof w:val="0"/>
                <w:color w:val="auto"/>
              </w:rPr>
            </w:pPr>
          </w:p>
        </w:tc>
        <w:tc>
          <w:tcPr>
            <w:tcW w:w="639" w:type="dxa"/>
            <w:shd w:val="clear" w:color="auto" w:fill="auto"/>
            <w:vAlign w:val="center"/>
          </w:tcPr>
          <w:p w14:paraId="37B074FB" w14:textId="77777777" w:rsidR="00343B0B" w:rsidRPr="00162B16" w:rsidRDefault="00343B0B" w:rsidP="00831911">
            <w:pPr>
              <w:autoSpaceDE w:val="0"/>
              <w:autoSpaceDN w:val="0"/>
              <w:adjustRightInd w:val="0"/>
              <w:snapToGrid w:val="0"/>
              <w:spacing w:line="240" w:lineRule="auto"/>
              <w:jc w:val="center"/>
              <w:rPr>
                <w:noProof w:val="0"/>
                <w:color w:val="auto"/>
              </w:rPr>
            </w:pPr>
          </w:p>
        </w:tc>
        <w:tc>
          <w:tcPr>
            <w:tcW w:w="2672" w:type="dxa"/>
            <w:shd w:val="clear" w:color="auto" w:fill="auto"/>
            <w:vAlign w:val="center"/>
          </w:tcPr>
          <w:p w14:paraId="07849D0D" w14:textId="77777777" w:rsidR="00343B0B" w:rsidRPr="00162B16" w:rsidRDefault="00343B0B" w:rsidP="00831911">
            <w:pPr>
              <w:autoSpaceDE w:val="0"/>
              <w:autoSpaceDN w:val="0"/>
              <w:adjustRightInd w:val="0"/>
              <w:snapToGrid w:val="0"/>
              <w:spacing w:line="240" w:lineRule="auto"/>
              <w:jc w:val="center"/>
              <w:rPr>
                <w:noProof w:val="0"/>
                <w:color w:val="auto"/>
              </w:rPr>
            </w:pPr>
          </w:p>
        </w:tc>
        <w:tc>
          <w:tcPr>
            <w:tcW w:w="639" w:type="dxa"/>
            <w:shd w:val="clear" w:color="auto" w:fill="auto"/>
            <w:vAlign w:val="center"/>
          </w:tcPr>
          <w:p w14:paraId="0589A35D" w14:textId="77777777" w:rsidR="00343B0B" w:rsidRPr="00162B16" w:rsidRDefault="00343B0B" w:rsidP="00831911">
            <w:pPr>
              <w:autoSpaceDE w:val="0"/>
              <w:autoSpaceDN w:val="0"/>
              <w:adjustRightInd w:val="0"/>
              <w:snapToGrid w:val="0"/>
              <w:spacing w:line="240" w:lineRule="auto"/>
              <w:jc w:val="center"/>
              <w:rPr>
                <w:noProof w:val="0"/>
                <w:color w:val="auto"/>
              </w:rPr>
            </w:pPr>
          </w:p>
        </w:tc>
        <w:tc>
          <w:tcPr>
            <w:tcW w:w="2631" w:type="dxa"/>
            <w:shd w:val="clear" w:color="auto" w:fill="auto"/>
            <w:vAlign w:val="center"/>
          </w:tcPr>
          <w:p w14:paraId="0C4CDDA3" w14:textId="77777777" w:rsidR="00343B0B" w:rsidRPr="00162B16" w:rsidRDefault="00343B0B" w:rsidP="00831911">
            <w:pPr>
              <w:autoSpaceDE w:val="0"/>
              <w:autoSpaceDN w:val="0"/>
              <w:adjustRightInd w:val="0"/>
              <w:snapToGrid w:val="0"/>
              <w:spacing w:line="240" w:lineRule="auto"/>
              <w:jc w:val="center"/>
              <w:rPr>
                <w:noProof w:val="0"/>
                <w:color w:val="auto"/>
              </w:rPr>
            </w:pPr>
          </w:p>
        </w:tc>
        <w:tc>
          <w:tcPr>
            <w:tcW w:w="672" w:type="dxa"/>
            <w:shd w:val="clear" w:color="auto" w:fill="auto"/>
            <w:vAlign w:val="center"/>
          </w:tcPr>
          <w:p w14:paraId="7BDF6830" w14:textId="77777777" w:rsidR="00343B0B" w:rsidRPr="00162B16" w:rsidRDefault="00343B0B" w:rsidP="00831911">
            <w:pPr>
              <w:autoSpaceDE w:val="0"/>
              <w:autoSpaceDN w:val="0"/>
              <w:adjustRightInd w:val="0"/>
              <w:snapToGrid w:val="0"/>
              <w:spacing w:line="240" w:lineRule="auto"/>
              <w:jc w:val="center"/>
              <w:rPr>
                <w:noProof w:val="0"/>
                <w:color w:val="auto"/>
              </w:rPr>
            </w:pPr>
          </w:p>
        </w:tc>
      </w:tr>
      <w:tr w:rsidR="00162B16" w:rsidRPr="00162B16" w14:paraId="58E53FCF" w14:textId="77777777" w:rsidTr="00831911">
        <w:trPr>
          <w:jc w:val="center"/>
        </w:trPr>
        <w:tc>
          <w:tcPr>
            <w:tcW w:w="827" w:type="dxa"/>
            <w:shd w:val="clear" w:color="auto" w:fill="auto"/>
            <w:vAlign w:val="center"/>
            <w:hideMark/>
          </w:tcPr>
          <w:p w14:paraId="3BD4F02F"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Employed</w:t>
            </w:r>
          </w:p>
        </w:tc>
        <w:tc>
          <w:tcPr>
            <w:tcW w:w="2386" w:type="dxa"/>
            <w:shd w:val="clear" w:color="auto" w:fill="auto"/>
            <w:vAlign w:val="center"/>
            <w:hideMark/>
          </w:tcPr>
          <w:p w14:paraId="730F0FBE"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539</w:t>
            </w:r>
          </w:p>
        </w:tc>
        <w:tc>
          <w:tcPr>
            <w:tcW w:w="639" w:type="dxa"/>
            <w:vMerge w:val="restart"/>
            <w:tcBorders>
              <w:top w:val="nil"/>
              <w:left w:val="nil"/>
              <w:bottom w:val="single" w:sz="4" w:space="0" w:color="auto"/>
              <w:right w:val="nil"/>
            </w:tcBorders>
            <w:shd w:val="clear" w:color="auto" w:fill="auto"/>
            <w:vAlign w:val="center"/>
            <w:hideMark/>
          </w:tcPr>
          <w:p w14:paraId="23DBCF9B"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0.75</w:t>
            </w:r>
          </w:p>
        </w:tc>
        <w:tc>
          <w:tcPr>
            <w:tcW w:w="2672" w:type="dxa"/>
            <w:shd w:val="clear" w:color="auto" w:fill="auto"/>
            <w:vAlign w:val="center"/>
            <w:hideMark/>
          </w:tcPr>
          <w:p w14:paraId="42B83038"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547</w:t>
            </w:r>
          </w:p>
        </w:tc>
        <w:tc>
          <w:tcPr>
            <w:tcW w:w="639" w:type="dxa"/>
            <w:vMerge w:val="restart"/>
            <w:tcBorders>
              <w:top w:val="nil"/>
              <w:left w:val="nil"/>
              <w:bottom w:val="single" w:sz="4" w:space="0" w:color="auto"/>
              <w:right w:val="nil"/>
            </w:tcBorders>
            <w:shd w:val="clear" w:color="auto" w:fill="auto"/>
            <w:vAlign w:val="center"/>
            <w:hideMark/>
          </w:tcPr>
          <w:p w14:paraId="2F1EB60D"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0.36</w:t>
            </w:r>
          </w:p>
        </w:tc>
        <w:tc>
          <w:tcPr>
            <w:tcW w:w="2631" w:type="dxa"/>
            <w:shd w:val="clear" w:color="auto" w:fill="auto"/>
            <w:vAlign w:val="center"/>
            <w:hideMark/>
          </w:tcPr>
          <w:p w14:paraId="483AE52B"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544</w:t>
            </w:r>
          </w:p>
        </w:tc>
        <w:tc>
          <w:tcPr>
            <w:tcW w:w="672" w:type="dxa"/>
            <w:vMerge w:val="restart"/>
            <w:tcBorders>
              <w:top w:val="nil"/>
              <w:left w:val="nil"/>
              <w:bottom w:val="single" w:sz="4" w:space="0" w:color="auto"/>
              <w:right w:val="nil"/>
            </w:tcBorders>
            <w:shd w:val="clear" w:color="auto" w:fill="auto"/>
            <w:vAlign w:val="center"/>
            <w:hideMark/>
          </w:tcPr>
          <w:p w14:paraId="1676714C"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0.36</w:t>
            </w:r>
          </w:p>
        </w:tc>
      </w:tr>
      <w:tr w:rsidR="00162B16" w:rsidRPr="00162B16" w14:paraId="60E96A5D" w14:textId="77777777" w:rsidTr="00831911">
        <w:trPr>
          <w:jc w:val="center"/>
        </w:trPr>
        <w:tc>
          <w:tcPr>
            <w:tcW w:w="827" w:type="dxa"/>
            <w:tcBorders>
              <w:top w:val="nil"/>
              <w:left w:val="nil"/>
              <w:bottom w:val="single" w:sz="4" w:space="0" w:color="auto"/>
              <w:right w:val="nil"/>
            </w:tcBorders>
            <w:shd w:val="clear" w:color="auto" w:fill="auto"/>
            <w:vAlign w:val="center"/>
            <w:hideMark/>
          </w:tcPr>
          <w:p w14:paraId="6DCDC1D0"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Retired</w:t>
            </w:r>
          </w:p>
        </w:tc>
        <w:tc>
          <w:tcPr>
            <w:tcW w:w="2386" w:type="dxa"/>
            <w:tcBorders>
              <w:top w:val="nil"/>
              <w:left w:val="nil"/>
              <w:bottom w:val="single" w:sz="4" w:space="0" w:color="auto"/>
              <w:right w:val="nil"/>
            </w:tcBorders>
            <w:shd w:val="clear" w:color="auto" w:fill="auto"/>
            <w:vAlign w:val="center"/>
            <w:hideMark/>
          </w:tcPr>
          <w:p w14:paraId="09912BB2"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544</w:t>
            </w:r>
          </w:p>
        </w:tc>
        <w:tc>
          <w:tcPr>
            <w:tcW w:w="639" w:type="dxa"/>
            <w:vMerge/>
            <w:tcBorders>
              <w:top w:val="nil"/>
              <w:left w:val="nil"/>
              <w:bottom w:val="single" w:sz="4" w:space="0" w:color="auto"/>
              <w:right w:val="nil"/>
            </w:tcBorders>
            <w:shd w:val="clear" w:color="auto" w:fill="auto"/>
            <w:vAlign w:val="center"/>
            <w:hideMark/>
          </w:tcPr>
          <w:p w14:paraId="21460B21" w14:textId="77777777" w:rsidR="00343B0B" w:rsidRPr="00162B16" w:rsidRDefault="00343B0B" w:rsidP="00831911">
            <w:pPr>
              <w:autoSpaceDE w:val="0"/>
              <w:autoSpaceDN w:val="0"/>
              <w:adjustRightInd w:val="0"/>
              <w:snapToGrid w:val="0"/>
              <w:spacing w:line="240" w:lineRule="auto"/>
              <w:jc w:val="center"/>
              <w:rPr>
                <w:noProof w:val="0"/>
                <w:color w:val="auto"/>
                <w:lang w:eastAsia="en-US"/>
              </w:rPr>
            </w:pPr>
          </w:p>
        </w:tc>
        <w:tc>
          <w:tcPr>
            <w:tcW w:w="2672" w:type="dxa"/>
            <w:tcBorders>
              <w:top w:val="nil"/>
              <w:left w:val="nil"/>
              <w:bottom w:val="single" w:sz="4" w:space="0" w:color="auto"/>
              <w:right w:val="nil"/>
            </w:tcBorders>
            <w:shd w:val="clear" w:color="auto" w:fill="auto"/>
            <w:vAlign w:val="center"/>
            <w:hideMark/>
          </w:tcPr>
          <w:p w14:paraId="1725C510"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536</w:t>
            </w:r>
          </w:p>
        </w:tc>
        <w:tc>
          <w:tcPr>
            <w:tcW w:w="639" w:type="dxa"/>
            <w:vMerge/>
            <w:tcBorders>
              <w:top w:val="nil"/>
              <w:left w:val="nil"/>
              <w:bottom w:val="single" w:sz="4" w:space="0" w:color="auto"/>
              <w:right w:val="nil"/>
            </w:tcBorders>
            <w:shd w:val="clear" w:color="auto" w:fill="auto"/>
            <w:vAlign w:val="center"/>
            <w:hideMark/>
          </w:tcPr>
          <w:p w14:paraId="1F05A2A6" w14:textId="77777777" w:rsidR="00343B0B" w:rsidRPr="00162B16" w:rsidRDefault="00343B0B" w:rsidP="00831911">
            <w:pPr>
              <w:autoSpaceDE w:val="0"/>
              <w:autoSpaceDN w:val="0"/>
              <w:adjustRightInd w:val="0"/>
              <w:snapToGrid w:val="0"/>
              <w:spacing w:line="240" w:lineRule="auto"/>
              <w:jc w:val="center"/>
              <w:rPr>
                <w:noProof w:val="0"/>
                <w:color w:val="auto"/>
                <w:lang w:eastAsia="en-US"/>
              </w:rPr>
            </w:pPr>
          </w:p>
        </w:tc>
        <w:tc>
          <w:tcPr>
            <w:tcW w:w="2631" w:type="dxa"/>
            <w:tcBorders>
              <w:top w:val="nil"/>
              <w:left w:val="nil"/>
              <w:bottom w:val="single" w:sz="4" w:space="0" w:color="auto"/>
              <w:right w:val="nil"/>
            </w:tcBorders>
            <w:shd w:val="clear" w:color="auto" w:fill="auto"/>
            <w:vAlign w:val="center"/>
            <w:hideMark/>
          </w:tcPr>
          <w:p w14:paraId="363D77BF"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539</w:t>
            </w:r>
          </w:p>
        </w:tc>
        <w:tc>
          <w:tcPr>
            <w:tcW w:w="672" w:type="dxa"/>
            <w:vMerge/>
            <w:tcBorders>
              <w:top w:val="nil"/>
              <w:left w:val="nil"/>
              <w:bottom w:val="single" w:sz="4" w:space="0" w:color="auto"/>
              <w:right w:val="nil"/>
            </w:tcBorders>
            <w:shd w:val="clear" w:color="auto" w:fill="auto"/>
            <w:vAlign w:val="center"/>
            <w:hideMark/>
          </w:tcPr>
          <w:p w14:paraId="6F27B220" w14:textId="77777777" w:rsidR="00343B0B" w:rsidRPr="00162B16" w:rsidRDefault="00343B0B" w:rsidP="00831911">
            <w:pPr>
              <w:autoSpaceDE w:val="0"/>
              <w:autoSpaceDN w:val="0"/>
              <w:adjustRightInd w:val="0"/>
              <w:snapToGrid w:val="0"/>
              <w:spacing w:line="240" w:lineRule="auto"/>
              <w:jc w:val="center"/>
              <w:rPr>
                <w:noProof w:val="0"/>
                <w:color w:val="auto"/>
                <w:lang w:eastAsia="en-US"/>
              </w:rPr>
            </w:pPr>
          </w:p>
        </w:tc>
      </w:tr>
      <w:tr w:rsidR="00162B16" w:rsidRPr="00162B16" w14:paraId="6E3C0ACB" w14:textId="77777777" w:rsidTr="00831911">
        <w:trPr>
          <w:jc w:val="center"/>
        </w:trPr>
        <w:tc>
          <w:tcPr>
            <w:tcW w:w="10466" w:type="dxa"/>
            <w:gridSpan w:val="7"/>
            <w:tcBorders>
              <w:top w:val="single" w:sz="4" w:space="0" w:color="auto"/>
              <w:left w:val="nil"/>
              <w:bottom w:val="single" w:sz="8" w:space="0" w:color="auto"/>
              <w:right w:val="nil"/>
            </w:tcBorders>
            <w:shd w:val="clear" w:color="auto" w:fill="auto"/>
            <w:vAlign w:val="center"/>
            <w:hideMark/>
          </w:tcPr>
          <w:p w14:paraId="75A24B9F" w14:textId="77777777" w:rsidR="00343B0B" w:rsidRPr="00162B16" w:rsidRDefault="00343B0B" w:rsidP="00831911">
            <w:pPr>
              <w:autoSpaceDE w:val="0"/>
              <w:autoSpaceDN w:val="0"/>
              <w:adjustRightInd w:val="0"/>
              <w:snapToGrid w:val="0"/>
              <w:spacing w:line="240" w:lineRule="auto"/>
              <w:jc w:val="center"/>
              <w:rPr>
                <w:noProof w:val="0"/>
                <w:color w:val="auto"/>
              </w:rPr>
            </w:pPr>
            <w:r w:rsidRPr="00162B16">
              <w:rPr>
                <w:noProof w:val="0"/>
                <w:color w:val="auto"/>
              </w:rPr>
              <w:t xml:space="preserve">* </w:t>
            </w:r>
            <w:proofErr w:type="gramStart"/>
            <w:r w:rsidRPr="00162B16">
              <w:rPr>
                <w:noProof w:val="0"/>
                <w:color w:val="auto"/>
              </w:rPr>
              <w:t>indicates</w:t>
            </w:r>
            <w:proofErr w:type="gramEnd"/>
            <w:r w:rsidRPr="00162B16">
              <w:rPr>
                <w:noProof w:val="0"/>
                <w:color w:val="auto"/>
              </w:rPr>
              <w:t xml:space="preserve"> significance at 0.05 level</w:t>
            </w:r>
          </w:p>
        </w:tc>
      </w:tr>
    </w:tbl>
    <w:p w14:paraId="3F3CF15F" w14:textId="347EEA2F" w:rsidR="00455395" w:rsidRPr="00162B16" w:rsidRDefault="00455395" w:rsidP="00831911">
      <w:pPr>
        <w:pStyle w:val="MDPI31text"/>
        <w:spacing w:before="120"/>
        <w:rPr>
          <w:color w:val="auto"/>
        </w:rPr>
      </w:pPr>
      <w:r w:rsidRPr="00162B16">
        <w:rPr>
          <w:color w:val="auto"/>
        </w:rPr>
        <w:t>Analyzing the IPAQ categories across the three surveys shows that 52.2% (n = 2446) of the participants reported low PA behavior and 12.4% (n = 581) reported high PA behavior. The findings in each PA category were similar for employed and retired (table 4). The variables which were consistently significantly associated with PA across the three surveys were the presence of a long-standing illness, activity limitation, self-rated health, BMI and number of chronic conditions. Age, employment status and education were not always statistically related with PA categories (table 5).</w:t>
      </w:r>
    </w:p>
    <w:p w14:paraId="03EAE319" w14:textId="27A76A01" w:rsidR="00343B0B" w:rsidRPr="00162B16" w:rsidRDefault="00343B0B" w:rsidP="00D2168E">
      <w:pPr>
        <w:pStyle w:val="MDPI31text"/>
        <w:rPr>
          <w:color w:val="auto"/>
        </w:rPr>
      </w:pPr>
    </w:p>
    <w:p w14:paraId="49B14614" w14:textId="77777777" w:rsidR="004B6662" w:rsidRPr="00162B16" w:rsidRDefault="004B6662" w:rsidP="004B6662">
      <w:pPr>
        <w:pStyle w:val="MDPI41tablecaption"/>
        <w:rPr>
          <w:color w:val="auto"/>
        </w:rPr>
      </w:pPr>
      <w:r w:rsidRPr="00162B16">
        <w:rPr>
          <w:b/>
          <w:color w:val="auto"/>
        </w:rPr>
        <w:t xml:space="preserve">Table 4. </w:t>
      </w:r>
      <w:r w:rsidRPr="00162B16">
        <w:rPr>
          <w:color w:val="auto"/>
        </w:rPr>
        <w:t>Physical activity IPAQ categories with employment status.</w:t>
      </w:r>
    </w:p>
    <w:tbl>
      <w:tblPr>
        <w:tblStyle w:val="TableGrid1"/>
        <w:tblW w:w="7857" w:type="dxa"/>
        <w:tblInd w:w="26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9"/>
        <w:gridCol w:w="1833"/>
        <w:gridCol w:w="2419"/>
        <w:gridCol w:w="1864"/>
        <w:gridCol w:w="1052"/>
      </w:tblGrid>
      <w:tr w:rsidR="00162B16" w:rsidRPr="00162B16" w14:paraId="3455C62D" w14:textId="77777777" w:rsidTr="00FE28E0">
        <w:tc>
          <w:tcPr>
            <w:tcW w:w="689" w:type="dxa"/>
            <w:tcBorders>
              <w:top w:val="single" w:sz="8" w:space="0" w:color="auto"/>
              <w:left w:val="nil"/>
              <w:bottom w:val="single" w:sz="4" w:space="0" w:color="auto"/>
              <w:right w:val="nil"/>
            </w:tcBorders>
            <w:shd w:val="clear" w:color="auto" w:fill="auto"/>
            <w:vAlign w:val="center"/>
            <w:hideMark/>
          </w:tcPr>
          <w:p w14:paraId="30DA36D9" w14:textId="77777777" w:rsidR="004B6662" w:rsidRPr="00162B16" w:rsidRDefault="004B6662" w:rsidP="00FE28E0">
            <w:pPr>
              <w:autoSpaceDE w:val="0"/>
              <w:autoSpaceDN w:val="0"/>
              <w:adjustRightInd w:val="0"/>
              <w:snapToGrid w:val="0"/>
              <w:spacing w:line="240" w:lineRule="auto"/>
              <w:jc w:val="center"/>
              <w:rPr>
                <w:rFonts w:cs="Times New Roman"/>
                <w:b/>
                <w:noProof w:val="0"/>
                <w:color w:val="auto"/>
                <w:sz w:val="20"/>
                <w:szCs w:val="20"/>
                <w:lang w:val="en-US"/>
              </w:rPr>
            </w:pPr>
            <w:r w:rsidRPr="00162B16">
              <w:rPr>
                <w:rFonts w:cs="Times New Roman"/>
                <w:b/>
                <w:noProof w:val="0"/>
                <w:color w:val="auto"/>
                <w:sz w:val="20"/>
                <w:szCs w:val="20"/>
                <w:lang w:val="en-US"/>
              </w:rPr>
              <w:t>Year</w:t>
            </w:r>
          </w:p>
        </w:tc>
        <w:tc>
          <w:tcPr>
            <w:tcW w:w="1833" w:type="dxa"/>
            <w:tcBorders>
              <w:top w:val="single" w:sz="8" w:space="0" w:color="auto"/>
              <w:left w:val="nil"/>
              <w:bottom w:val="single" w:sz="4" w:space="0" w:color="auto"/>
              <w:right w:val="nil"/>
            </w:tcBorders>
            <w:shd w:val="clear" w:color="auto" w:fill="auto"/>
            <w:vAlign w:val="center"/>
            <w:hideMark/>
          </w:tcPr>
          <w:p w14:paraId="3E76E48B" w14:textId="77777777" w:rsidR="004B6662" w:rsidRPr="00162B16" w:rsidRDefault="004B6662" w:rsidP="00FE28E0">
            <w:pPr>
              <w:autoSpaceDE w:val="0"/>
              <w:autoSpaceDN w:val="0"/>
              <w:adjustRightInd w:val="0"/>
              <w:snapToGrid w:val="0"/>
              <w:spacing w:line="240" w:lineRule="auto"/>
              <w:jc w:val="center"/>
              <w:rPr>
                <w:rFonts w:cs="Times New Roman"/>
                <w:b/>
                <w:noProof w:val="0"/>
                <w:color w:val="auto"/>
                <w:sz w:val="20"/>
                <w:szCs w:val="20"/>
                <w:lang w:val="en-US"/>
              </w:rPr>
            </w:pPr>
            <w:r w:rsidRPr="00162B16">
              <w:rPr>
                <w:rFonts w:cs="Times New Roman"/>
                <w:b/>
                <w:noProof w:val="0"/>
                <w:color w:val="auto"/>
                <w:sz w:val="20"/>
                <w:szCs w:val="20"/>
                <w:lang w:val="en-US"/>
              </w:rPr>
              <w:t>PA category</w:t>
            </w:r>
          </w:p>
        </w:tc>
        <w:tc>
          <w:tcPr>
            <w:tcW w:w="2419" w:type="dxa"/>
            <w:tcBorders>
              <w:top w:val="single" w:sz="8" w:space="0" w:color="auto"/>
              <w:left w:val="nil"/>
              <w:bottom w:val="single" w:sz="4" w:space="0" w:color="auto"/>
              <w:right w:val="nil"/>
            </w:tcBorders>
            <w:shd w:val="clear" w:color="auto" w:fill="auto"/>
            <w:vAlign w:val="center"/>
            <w:hideMark/>
          </w:tcPr>
          <w:p w14:paraId="722A8DCC" w14:textId="77777777" w:rsidR="004B6662" w:rsidRPr="00162B16" w:rsidRDefault="004B6662" w:rsidP="00FE28E0">
            <w:pPr>
              <w:autoSpaceDE w:val="0"/>
              <w:autoSpaceDN w:val="0"/>
              <w:adjustRightInd w:val="0"/>
              <w:snapToGrid w:val="0"/>
              <w:spacing w:line="240" w:lineRule="auto"/>
              <w:jc w:val="center"/>
              <w:rPr>
                <w:rFonts w:cs="Times New Roman"/>
                <w:b/>
                <w:noProof w:val="0"/>
                <w:color w:val="auto"/>
                <w:sz w:val="20"/>
                <w:szCs w:val="20"/>
                <w:lang w:val="en-US"/>
              </w:rPr>
            </w:pPr>
            <w:r w:rsidRPr="00162B16">
              <w:rPr>
                <w:rFonts w:cs="Times New Roman"/>
                <w:b/>
                <w:noProof w:val="0"/>
                <w:color w:val="auto"/>
                <w:sz w:val="20"/>
                <w:szCs w:val="20"/>
                <w:lang w:val="en-US"/>
              </w:rPr>
              <w:t>Employed n (%)</w:t>
            </w:r>
          </w:p>
        </w:tc>
        <w:tc>
          <w:tcPr>
            <w:tcW w:w="1864" w:type="dxa"/>
            <w:tcBorders>
              <w:top w:val="single" w:sz="8" w:space="0" w:color="auto"/>
              <w:left w:val="nil"/>
              <w:bottom w:val="single" w:sz="4" w:space="0" w:color="auto"/>
              <w:right w:val="nil"/>
            </w:tcBorders>
            <w:shd w:val="clear" w:color="auto" w:fill="auto"/>
            <w:vAlign w:val="center"/>
            <w:hideMark/>
          </w:tcPr>
          <w:p w14:paraId="658EBB20" w14:textId="77777777" w:rsidR="004B6662" w:rsidRPr="00162B16" w:rsidRDefault="004B6662" w:rsidP="00FE28E0">
            <w:pPr>
              <w:autoSpaceDE w:val="0"/>
              <w:autoSpaceDN w:val="0"/>
              <w:adjustRightInd w:val="0"/>
              <w:snapToGrid w:val="0"/>
              <w:spacing w:line="240" w:lineRule="auto"/>
              <w:jc w:val="center"/>
              <w:rPr>
                <w:rFonts w:cs="Times New Roman"/>
                <w:b/>
                <w:noProof w:val="0"/>
                <w:color w:val="auto"/>
                <w:sz w:val="20"/>
                <w:szCs w:val="20"/>
                <w:lang w:val="en-US"/>
              </w:rPr>
            </w:pPr>
            <w:r w:rsidRPr="00162B16">
              <w:rPr>
                <w:rFonts w:cs="Times New Roman"/>
                <w:b/>
                <w:noProof w:val="0"/>
                <w:color w:val="auto"/>
                <w:sz w:val="20"/>
                <w:szCs w:val="20"/>
                <w:lang w:val="en-US"/>
              </w:rPr>
              <w:t>Retired n (%)</w:t>
            </w:r>
          </w:p>
        </w:tc>
        <w:tc>
          <w:tcPr>
            <w:tcW w:w="1052" w:type="dxa"/>
            <w:tcBorders>
              <w:top w:val="single" w:sz="8" w:space="0" w:color="auto"/>
              <w:left w:val="nil"/>
              <w:bottom w:val="single" w:sz="4" w:space="0" w:color="auto"/>
              <w:right w:val="nil"/>
            </w:tcBorders>
            <w:shd w:val="clear" w:color="auto" w:fill="auto"/>
            <w:vAlign w:val="center"/>
          </w:tcPr>
          <w:p w14:paraId="2FADA9BF" w14:textId="77777777" w:rsidR="004B6662" w:rsidRPr="00162B16" w:rsidRDefault="004B6662" w:rsidP="00FE28E0">
            <w:pPr>
              <w:autoSpaceDE w:val="0"/>
              <w:autoSpaceDN w:val="0"/>
              <w:adjustRightInd w:val="0"/>
              <w:snapToGrid w:val="0"/>
              <w:spacing w:line="240" w:lineRule="auto"/>
              <w:jc w:val="center"/>
              <w:rPr>
                <w:rFonts w:cs="Times New Roman"/>
                <w:b/>
                <w:noProof w:val="0"/>
                <w:color w:val="auto"/>
                <w:sz w:val="20"/>
                <w:szCs w:val="20"/>
                <w:lang w:val="en-US"/>
              </w:rPr>
            </w:pPr>
            <w:r w:rsidRPr="00162B16">
              <w:rPr>
                <w:rFonts w:cs="Times New Roman"/>
                <w:b/>
                <w:noProof w:val="0"/>
                <w:color w:val="auto"/>
                <w:sz w:val="20"/>
                <w:szCs w:val="20"/>
                <w:lang w:val="en-US"/>
              </w:rPr>
              <w:t>P value</w:t>
            </w:r>
          </w:p>
        </w:tc>
      </w:tr>
      <w:tr w:rsidR="00162B16" w:rsidRPr="00162B16" w14:paraId="5228545E" w14:textId="77777777" w:rsidTr="00FE28E0">
        <w:tc>
          <w:tcPr>
            <w:tcW w:w="689" w:type="dxa"/>
            <w:vMerge w:val="restart"/>
            <w:tcBorders>
              <w:top w:val="single" w:sz="4" w:space="0" w:color="auto"/>
            </w:tcBorders>
            <w:shd w:val="clear" w:color="auto" w:fill="auto"/>
            <w:vAlign w:val="center"/>
            <w:hideMark/>
          </w:tcPr>
          <w:p w14:paraId="59A07241"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2002</w:t>
            </w:r>
          </w:p>
        </w:tc>
        <w:tc>
          <w:tcPr>
            <w:tcW w:w="1833" w:type="dxa"/>
            <w:tcBorders>
              <w:top w:val="single" w:sz="4" w:space="0" w:color="auto"/>
            </w:tcBorders>
            <w:shd w:val="clear" w:color="auto" w:fill="auto"/>
            <w:vAlign w:val="center"/>
            <w:hideMark/>
          </w:tcPr>
          <w:p w14:paraId="7B4C1382"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Low</w:t>
            </w:r>
          </w:p>
        </w:tc>
        <w:tc>
          <w:tcPr>
            <w:tcW w:w="2419" w:type="dxa"/>
            <w:tcBorders>
              <w:top w:val="single" w:sz="4" w:space="0" w:color="auto"/>
            </w:tcBorders>
            <w:shd w:val="clear" w:color="auto" w:fill="auto"/>
            <w:vAlign w:val="center"/>
            <w:hideMark/>
          </w:tcPr>
          <w:p w14:paraId="309551A5"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213 (51.4)</w:t>
            </w:r>
            <w:r w:rsidRPr="00162B16">
              <w:rPr>
                <w:rFonts w:cs="Times New Roman"/>
                <w:noProof w:val="0"/>
                <w:color w:val="auto"/>
                <w:sz w:val="20"/>
                <w:szCs w:val="20"/>
                <w:vertAlign w:val="superscript"/>
                <w:lang w:val="en-US"/>
              </w:rPr>
              <w:t xml:space="preserve"> a</w:t>
            </w:r>
          </w:p>
        </w:tc>
        <w:tc>
          <w:tcPr>
            <w:tcW w:w="1864" w:type="dxa"/>
            <w:tcBorders>
              <w:top w:val="single" w:sz="4" w:space="0" w:color="auto"/>
            </w:tcBorders>
            <w:shd w:val="clear" w:color="auto" w:fill="auto"/>
            <w:vAlign w:val="center"/>
            <w:hideMark/>
          </w:tcPr>
          <w:p w14:paraId="6B6A04AD"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254 (51)</w:t>
            </w:r>
            <w:r w:rsidRPr="00162B16">
              <w:rPr>
                <w:rFonts w:cs="Times New Roman"/>
                <w:noProof w:val="0"/>
                <w:color w:val="auto"/>
                <w:sz w:val="20"/>
                <w:szCs w:val="20"/>
                <w:vertAlign w:val="superscript"/>
                <w:lang w:val="en-US"/>
              </w:rPr>
              <w:t xml:space="preserve"> a</w:t>
            </w:r>
          </w:p>
        </w:tc>
        <w:tc>
          <w:tcPr>
            <w:tcW w:w="1052" w:type="dxa"/>
            <w:vMerge w:val="restart"/>
            <w:tcBorders>
              <w:top w:val="single" w:sz="4" w:space="0" w:color="auto"/>
            </w:tcBorders>
            <w:shd w:val="clear" w:color="auto" w:fill="auto"/>
            <w:vAlign w:val="center"/>
            <w:hideMark/>
          </w:tcPr>
          <w:p w14:paraId="5D42439A"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0.44</w:t>
            </w:r>
          </w:p>
        </w:tc>
      </w:tr>
      <w:tr w:rsidR="00162B16" w:rsidRPr="00162B16" w14:paraId="563A8034" w14:textId="77777777" w:rsidTr="00FE28E0">
        <w:tc>
          <w:tcPr>
            <w:tcW w:w="689" w:type="dxa"/>
            <w:vMerge/>
            <w:shd w:val="clear" w:color="auto" w:fill="auto"/>
            <w:vAlign w:val="center"/>
            <w:hideMark/>
          </w:tcPr>
          <w:p w14:paraId="703989CA"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p>
        </w:tc>
        <w:tc>
          <w:tcPr>
            <w:tcW w:w="1833" w:type="dxa"/>
            <w:shd w:val="clear" w:color="auto" w:fill="auto"/>
            <w:vAlign w:val="center"/>
            <w:hideMark/>
          </w:tcPr>
          <w:p w14:paraId="6A67FCF2"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Moderate</w:t>
            </w:r>
          </w:p>
        </w:tc>
        <w:tc>
          <w:tcPr>
            <w:tcW w:w="2419" w:type="dxa"/>
            <w:shd w:val="clear" w:color="auto" w:fill="auto"/>
            <w:vAlign w:val="center"/>
            <w:hideMark/>
          </w:tcPr>
          <w:p w14:paraId="325FC5C7"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109 (26.3)</w:t>
            </w:r>
            <w:r w:rsidRPr="00162B16">
              <w:rPr>
                <w:rFonts w:cs="Times New Roman"/>
                <w:noProof w:val="0"/>
                <w:color w:val="auto"/>
                <w:sz w:val="20"/>
                <w:szCs w:val="20"/>
                <w:vertAlign w:val="superscript"/>
                <w:lang w:val="en-US"/>
              </w:rPr>
              <w:t xml:space="preserve"> a</w:t>
            </w:r>
          </w:p>
        </w:tc>
        <w:tc>
          <w:tcPr>
            <w:tcW w:w="1864" w:type="dxa"/>
            <w:shd w:val="clear" w:color="auto" w:fill="auto"/>
            <w:vAlign w:val="center"/>
            <w:hideMark/>
          </w:tcPr>
          <w:p w14:paraId="1F33326B"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147 (29.5)</w:t>
            </w:r>
            <w:r w:rsidRPr="00162B16">
              <w:rPr>
                <w:rFonts w:cs="Times New Roman"/>
                <w:noProof w:val="0"/>
                <w:color w:val="auto"/>
                <w:sz w:val="20"/>
                <w:szCs w:val="20"/>
                <w:vertAlign w:val="superscript"/>
                <w:lang w:val="en-US"/>
              </w:rPr>
              <w:t xml:space="preserve"> a</w:t>
            </w:r>
          </w:p>
        </w:tc>
        <w:tc>
          <w:tcPr>
            <w:tcW w:w="1052" w:type="dxa"/>
            <w:vMerge/>
            <w:shd w:val="clear" w:color="auto" w:fill="auto"/>
            <w:vAlign w:val="center"/>
            <w:hideMark/>
          </w:tcPr>
          <w:p w14:paraId="0A220585"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p>
        </w:tc>
      </w:tr>
      <w:tr w:rsidR="00162B16" w:rsidRPr="00162B16" w14:paraId="0BC689CC" w14:textId="77777777" w:rsidTr="00FE28E0">
        <w:tc>
          <w:tcPr>
            <w:tcW w:w="689" w:type="dxa"/>
            <w:vMerge/>
            <w:shd w:val="clear" w:color="auto" w:fill="auto"/>
            <w:vAlign w:val="center"/>
            <w:hideMark/>
          </w:tcPr>
          <w:p w14:paraId="1D553045"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p>
        </w:tc>
        <w:tc>
          <w:tcPr>
            <w:tcW w:w="1833" w:type="dxa"/>
            <w:shd w:val="clear" w:color="auto" w:fill="auto"/>
            <w:vAlign w:val="center"/>
            <w:hideMark/>
          </w:tcPr>
          <w:p w14:paraId="682997B0"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High</w:t>
            </w:r>
          </w:p>
        </w:tc>
        <w:tc>
          <w:tcPr>
            <w:tcW w:w="2419" w:type="dxa"/>
            <w:shd w:val="clear" w:color="auto" w:fill="auto"/>
            <w:vAlign w:val="center"/>
            <w:hideMark/>
          </w:tcPr>
          <w:p w14:paraId="1EAD25DD"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92 (22.2)</w:t>
            </w:r>
            <w:r w:rsidRPr="00162B16">
              <w:rPr>
                <w:rFonts w:cs="Times New Roman"/>
                <w:noProof w:val="0"/>
                <w:color w:val="auto"/>
                <w:sz w:val="20"/>
                <w:szCs w:val="20"/>
                <w:vertAlign w:val="superscript"/>
                <w:lang w:val="en-US"/>
              </w:rPr>
              <w:t xml:space="preserve"> a</w:t>
            </w:r>
          </w:p>
        </w:tc>
        <w:tc>
          <w:tcPr>
            <w:tcW w:w="1864" w:type="dxa"/>
            <w:shd w:val="clear" w:color="auto" w:fill="auto"/>
            <w:vAlign w:val="center"/>
            <w:hideMark/>
          </w:tcPr>
          <w:p w14:paraId="73924A7A"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97 (19.5)</w:t>
            </w:r>
            <w:r w:rsidRPr="00162B16">
              <w:rPr>
                <w:rFonts w:cs="Times New Roman"/>
                <w:noProof w:val="0"/>
                <w:color w:val="auto"/>
                <w:sz w:val="20"/>
                <w:szCs w:val="20"/>
                <w:vertAlign w:val="superscript"/>
                <w:lang w:val="en-US"/>
              </w:rPr>
              <w:t xml:space="preserve"> a</w:t>
            </w:r>
          </w:p>
        </w:tc>
        <w:tc>
          <w:tcPr>
            <w:tcW w:w="1052" w:type="dxa"/>
            <w:vMerge/>
            <w:shd w:val="clear" w:color="auto" w:fill="auto"/>
            <w:vAlign w:val="center"/>
            <w:hideMark/>
          </w:tcPr>
          <w:p w14:paraId="4E401731"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p>
        </w:tc>
      </w:tr>
      <w:tr w:rsidR="00162B16" w:rsidRPr="00162B16" w14:paraId="7D28522B" w14:textId="77777777" w:rsidTr="00FE28E0">
        <w:tc>
          <w:tcPr>
            <w:tcW w:w="689" w:type="dxa"/>
            <w:vMerge w:val="restart"/>
            <w:shd w:val="clear" w:color="auto" w:fill="auto"/>
            <w:vAlign w:val="center"/>
            <w:hideMark/>
          </w:tcPr>
          <w:p w14:paraId="5AA1062A"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2008</w:t>
            </w:r>
          </w:p>
        </w:tc>
        <w:tc>
          <w:tcPr>
            <w:tcW w:w="1833" w:type="dxa"/>
            <w:shd w:val="clear" w:color="auto" w:fill="auto"/>
            <w:vAlign w:val="center"/>
            <w:hideMark/>
          </w:tcPr>
          <w:p w14:paraId="6E7655CB"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Low</w:t>
            </w:r>
          </w:p>
        </w:tc>
        <w:tc>
          <w:tcPr>
            <w:tcW w:w="2419" w:type="dxa"/>
            <w:shd w:val="clear" w:color="auto" w:fill="auto"/>
            <w:vAlign w:val="center"/>
            <w:hideMark/>
          </w:tcPr>
          <w:p w14:paraId="4CC63319"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207 (49.2)</w:t>
            </w:r>
            <w:r w:rsidRPr="00162B16">
              <w:rPr>
                <w:rFonts w:cs="Times New Roman"/>
                <w:noProof w:val="0"/>
                <w:color w:val="auto"/>
                <w:sz w:val="20"/>
                <w:szCs w:val="20"/>
                <w:vertAlign w:val="superscript"/>
                <w:lang w:val="en-US"/>
              </w:rPr>
              <w:t xml:space="preserve"> a</w:t>
            </w:r>
          </w:p>
        </w:tc>
        <w:tc>
          <w:tcPr>
            <w:tcW w:w="1864" w:type="dxa"/>
            <w:shd w:val="clear" w:color="auto" w:fill="auto"/>
            <w:vAlign w:val="center"/>
            <w:hideMark/>
          </w:tcPr>
          <w:p w14:paraId="6AA324B7"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183 (49.6)</w:t>
            </w:r>
            <w:r w:rsidRPr="00162B16">
              <w:rPr>
                <w:rFonts w:cs="Times New Roman"/>
                <w:noProof w:val="0"/>
                <w:color w:val="auto"/>
                <w:sz w:val="20"/>
                <w:szCs w:val="20"/>
                <w:vertAlign w:val="superscript"/>
                <w:lang w:val="en-US"/>
              </w:rPr>
              <w:t xml:space="preserve"> a</w:t>
            </w:r>
          </w:p>
        </w:tc>
        <w:tc>
          <w:tcPr>
            <w:tcW w:w="1052" w:type="dxa"/>
            <w:vMerge w:val="restart"/>
            <w:shd w:val="clear" w:color="auto" w:fill="auto"/>
            <w:vAlign w:val="center"/>
            <w:hideMark/>
          </w:tcPr>
          <w:p w14:paraId="0FC46A22"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0.025*</w:t>
            </w:r>
          </w:p>
        </w:tc>
      </w:tr>
      <w:tr w:rsidR="00162B16" w:rsidRPr="00162B16" w14:paraId="65D66AE8" w14:textId="77777777" w:rsidTr="00FE28E0">
        <w:tc>
          <w:tcPr>
            <w:tcW w:w="689" w:type="dxa"/>
            <w:vMerge/>
            <w:shd w:val="clear" w:color="auto" w:fill="auto"/>
            <w:vAlign w:val="center"/>
            <w:hideMark/>
          </w:tcPr>
          <w:p w14:paraId="0EE54831"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p>
        </w:tc>
        <w:tc>
          <w:tcPr>
            <w:tcW w:w="1833" w:type="dxa"/>
            <w:shd w:val="clear" w:color="auto" w:fill="auto"/>
            <w:vAlign w:val="center"/>
            <w:hideMark/>
          </w:tcPr>
          <w:p w14:paraId="0D0F29FD"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Moderate</w:t>
            </w:r>
          </w:p>
        </w:tc>
        <w:tc>
          <w:tcPr>
            <w:tcW w:w="2419" w:type="dxa"/>
            <w:shd w:val="clear" w:color="auto" w:fill="auto"/>
            <w:vAlign w:val="center"/>
            <w:hideMark/>
          </w:tcPr>
          <w:p w14:paraId="19CA8C81"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141 (26.3)</w:t>
            </w:r>
            <w:r w:rsidRPr="00162B16">
              <w:rPr>
                <w:rFonts w:cs="Times New Roman"/>
                <w:noProof w:val="0"/>
                <w:color w:val="auto"/>
                <w:sz w:val="20"/>
                <w:szCs w:val="20"/>
                <w:vertAlign w:val="superscript"/>
                <w:lang w:val="en-US"/>
              </w:rPr>
              <w:t xml:space="preserve"> a</w:t>
            </w:r>
          </w:p>
        </w:tc>
        <w:tc>
          <w:tcPr>
            <w:tcW w:w="1864" w:type="dxa"/>
            <w:shd w:val="clear" w:color="auto" w:fill="auto"/>
            <w:vAlign w:val="center"/>
            <w:hideMark/>
          </w:tcPr>
          <w:p w14:paraId="0A7CF02E"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139 (37.7)</w:t>
            </w:r>
            <w:r w:rsidRPr="00162B16">
              <w:rPr>
                <w:rFonts w:cs="Times New Roman"/>
                <w:noProof w:val="0"/>
                <w:color w:val="auto"/>
                <w:sz w:val="20"/>
                <w:szCs w:val="20"/>
                <w:vertAlign w:val="superscript"/>
                <w:lang w:val="en-US"/>
              </w:rPr>
              <w:t xml:space="preserve"> a</w:t>
            </w:r>
          </w:p>
        </w:tc>
        <w:tc>
          <w:tcPr>
            <w:tcW w:w="1052" w:type="dxa"/>
            <w:vMerge/>
            <w:shd w:val="clear" w:color="auto" w:fill="auto"/>
            <w:vAlign w:val="center"/>
            <w:hideMark/>
          </w:tcPr>
          <w:p w14:paraId="7616DAD7"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p>
        </w:tc>
      </w:tr>
      <w:tr w:rsidR="00162B16" w:rsidRPr="00162B16" w14:paraId="2AD37E82" w14:textId="77777777" w:rsidTr="00FE28E0">
        <w:tc>
          <w:tcPr>
            <w:tcW w:w="689" w:type="dxa"/>
            <w:vMerge/>
            <w:shd w:val="clear" w:color="auto" w:fill="auto"/>
            <w:vAlign w:val="center"/>
            <w:hideMark/>
          </w:tcPr>
          <w:p w14:paraId="6DD02969"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p>
        </w:tc>
        <w:tc>
          <w:tcPr>
            <w:tcW w:w="1833" w:type="dxa"/>
            <w:shd w:val="clear" w:color="auto" w:fill="auto"/>
            <w:vAlign w:val="center"/>
            <w:hideMark/>
          </w:tcPr>
          <w:p w14:paraId="65D186E5"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High</w:t>
            </w:r>
          </w:p>
        </w:tc>
        <w:tc>
          <w:tcPr>
            <w:tcW w:w="2419" w:type="dxa"/>
            <w:shd w:val="clear" w:color="auto" w:fill="auto"/>
            <w:vAlign w:val="center"/>
            <w:hideMark/>
          </w:tcPr>
          <w:p w14:paraId="3230F2CF"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73 (17.3)</w:t>
            </w:r>
            <w:r w:rsidRPr="00162B16">
              <w:rPr>
                <w:rFonts w:cs="Times New Roman"/>
                <w:noProof w:val="0"/>
                <w:color w:val="auto"/>
                <w:sz w:val="20"/>
                <w:szCs w:val="20"/>
                <w:vertAlign w:val="superscript"/>
                <w:lang w:val="en-US"/>
              </w:rPr>
              <w:t xml:space="preserve"> a</w:t>
            </w:r>
          </w:p>
        </w:tc>
        <w:tc>
          <w:tcPr>
            <w:tcW w:w="1864" w:type="dxa"/>
            <w:shd w:val="clear" w:color="auto" w:fill="auto"/>
            <w:vAlign w:val="center"/>
            <w:hideMark/>
          </w:tcPr>
          <w:p w14:paraId="1ADFAD18"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47 (12.7)</w:t>
            </w:r>
            <w:r w:rsidRPr="00162B16">
              <w:rPr>
                <w:rFonts w:cs="Times New Roman"/>
                <w:noProof w:val="0"/>
                <w:color w:val="auto"/>
                <w:sz w:val="20"/>
                <w:szCs w:val="20"/>
                <w:vertAlign w:val="superscript"/>
                <w:lang w:val="en-US"/>
              </w:rPr>
              <w:t xml:space="preserve"> b</w:t>
            </w:r>
          </w:p>
        </w:tc>
        <w:tc>
          <w:tcPr>
            <w:tcW w:w="1052" w:type="dxa"/>
            <w:vMerge/>
            <w:shd w:val="clear" w:color="auto" w:fill="auto"/>
            <w:vAlign w:val="center"/>
            <w:hideMark/>
          </w:tcPr>
          <w:p w14:paraId="1200268C"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p>
        </w:tc>
      </w:tr>
      <w:tr w:rsidR="00162B16" w:rsidRPr="00162B16" w14:paraId="4187D120" w14:textId="77777777" w:rsidTr="00FE28E0">
        <w:tc>
          <w:tcPr>
            <w:tcW w:w="689" w:type="dxa"/>
            <w:vMerge w:val="restart"/>
            <w:tcBorders>
              <w:top w:val="nil"/>
              <w:left w:val="nil"/>
              <w:bottom w:val="single" w:sz="4" w:space="0" w:color="auto"/>
              <w:right w:val="nil"/>
            </w:tcBorders>
            <w:shd w:val="clear" w:color="auto" w:fill="auto"/>
            <w:vAlign w:val="center"/>
            <w:hideMark/>
          </w:tcPr>
          <w:p w14:paraId="0EA91D2B"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2014</w:t>
            </w:r>
          </w:p>
        </w:tc>
        <w:tc>
          <w:tcPr>
            <w:tcW w:w="1833" w:type="dxa"/>
            <w:shd w:val="clear" w:color="auto" w:fill="auto"/>
            <w:vAlign w:val="center"/>
            <w:hideMark/>
          </w:tcPr>
          <w:p w14:paraId="08D0A93B"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Low</w:t>
            </w:r>
          </w:p>
        </w:tc>
        <w:tc>
          <w:tcPr>
            <w:tcW w:w="2419" w:type="dxa"/>
            <w:shd w:val="clear" w:color="auto" w:fill="auto"/>
            <w:vAlign w:val="center"/>
            <w:hideMark/>
          </w:tcPr>
          <w:p w14:paraId="47F8EF29"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271 (50.4)</w:t>
            </w:r>
            <w:r w:rsidRPr="00162B16">
              <w:rPr>
                <w:rFonts w:cs="Times New Roman"/>
                <w:noProof w:val="0"/>
                <w:color w:val="auto"/>
                <w:sz w:val="20"/>
                <w:szCs w:val="20"/>
                <w:vertAlign w:val="superscript"/>
                <w:lang w:val="en-US"/>
              </w:rPr>
              <w:t xml:space="preserve"> a</w:t>
            </w:r>
          </w:p>
        </w:tc>
        <w:tc>
          <w:tcPr>
            <w:tcW w:w="1864" w:type="dxa"/>
            <w:shd w:val="clear" w:color="auto" w:fill="auto"/>
            <w:vAlign w:val="center"/>
            <w:hideMark/>
          </w:tcPr>
          <w:p w14:paraId="33FBD09C"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263 (48.3)</w:t>
            </w:r>
            <w:r w:rsidRPr="00162B16">
              <w:rPr>
                <w:rFonts w:cs="Times New Roman"/>
                <w:noProof w:val="0"/>
                <w:color w:val="auto"/>
                <w:sz w:val="20"/>
                <w:szCs w:val="20"/>
                <w:vertAlign w:val="superscript"/>
                <w:lang w:val="en-US"/>
              </w:rPr>
              <w:t xml:space="preserve"> a</w:t>
            </w:r>
          </w:p>
        </w:tc>
        <w:tc>
          <w:tcPr>
            <w:tcW w:w="1052" w:type="dxa"/>
            <w:vMerge w:val="restart"/>
            <w:tcBorders>
              <w:top w:val="nil"/>
              <w:left w:val="nil"/>
              <w:bottom w:val="single" w:sz="4" w:space="0" w:color="auto"/>
              <w:right w:val="nil"/>
            </w:tcBorders>
            <w:shd w:val="clear" w:color="auto" w:fill="auto"/>
            <w:vAlign w:val="center"/>
            <w:hideMark/>
          </w:tcPr>
          <w:p w14:paraId="5E7ECCE8"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0.79</w:t>
            </w:r>
          </w:p>
        </w:tc>
      </w:tr>
      <w:tr w:rsidR="00162B16" w:rsidRPr="00162B16" w14:paraId="5950946E" w14:textId="77777777" w:rsidTr="00FE28E0">
        <w:tc>
          <w:tcPr>
            <w:tcW w:w="689" w:type="dxa"/>
            <w:vMerge/>
            <w:tcBorders>
              <w:top w:val="nil"/>
              <w:left w:val="nil"/>
              <w:bottom w:val="single" w:sz="4" w:space="0" w:color="auto"/>
              <w:right w:val="nil"/>
            </w:tcBorders>
            <w:shd w:val="clear" w:color="auto" w:fill="auto"/>
            <w:vAlign w:val="center"/>
            <w:hideMark/>
          </w:tcPr>
          <w:p w14:paraId="126E813C"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p>
        </w:tc>
        <w:tc>
          <w:tcPr>
            <w:tcW w:w="1833" w:type="dxa"/>
            <w:shd w:val="clear" w:color="auto" w:fill="auto"/>
            <w:vAlign w:val="center"/>
            <w:hideMark/>
          </w:tcPr>
          <w:p w14:paraId="34608EA6"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Moderate</w:t>
            </w:r>
          </w:p>
        </w:tc>
        <w:tc>
          <w:tcPr>
            <w:tcW w:w="2419" w:type="dxa"/>
            <w:shd w:val="clear" w:color="auto" w:fill="auto"/>
            <w:vAlign w:val="center"/>
            <w:hideMark/>
          </w:tcPr>
          <w:p w14:paraId="774D4474"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227 (42.2)</w:t>
            </w:r>
            <w:r w:rsidRPr="00162B16">
              <w:rPr>
                <w:rFonts w:cs="Times New Roman"/>
                <w:noProof w:val="0"/>
                <w:color w:val="auto"/>
                <w:sz w:val="20"/>
                <w:szCs w:val="20"/>
                <w:vertAlign w:val="superscript"/>
                <w:lang w:val="en-US"/>
              </w:rPr>
              <w:t xml:space="preserve"> a</w:t>
            </w:r>
          </w:p>
        </w:tc>
        <w:tc>
          <w:tcPr>
            <w:tcW w:w="1864" w:type="dxa"/>
            <w:shd w:val="clear" w:color="auto" w:fill="auto"/>
            <w:vAlign w:val="center"/>
            <w:hideMark/>
          </w:tcPr>
          <w:p w14:paraId="6A480149"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240 (44.1)</w:t>
            </w:r>
            <w:r w:rsidRPr="00162B16">
              <w:rPr>
                <w:rFonts w:cs="Times New Roman"/>
                <w:noProof w:val="0"/>
                <w:color w:val="auto"/>
                <w:sz w:val="20"/>
                <w:szCs w:val="20"/>
                <w:vertAlign w:val="superscript"/>
                <w:lang w:val="en-US"/>
              </w:rPr>
              <w:t xml:space="preserve"> a</w:t>
            </w:r>
          </w:p>
        </w:tc>
        <w:tc>
          <w:tcPr>
            <w:tcW w:w="1052" w:type="dxa"/>
            <w:vMerge/>
            <w:tcBorders>
              <w:top w:val="nil"/>
              <w:left w:val="nil"/>
              <w:bottom w:val="single" w:sz="4" w:space="0" w:color="auto"/>
              <w:right w:val="nil"/>
            </w:tcBorders>
            <w:shd w:val="clear" w:color="auto" w:fill="auto"/>
            <w:vAlign w:val="center"/>
            <w:hideMark/>
          </w:tcPr>
          <w:p w14:paraId="67664421"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p>
        </w:tc>
      </w:tr>
      <w:tr w:rsidR="00162B16" w:rsidRPr="00162B16" w14:paraId="5CFA2E6C" w14:textId="77777777" w:rsidTr="00FE28E0">
        <w:tc>
          <w:tcPr>
            <w:tcW w:w="689" w:type="dxa"/>
            <w:vMerge/>
            <w:tcBorders>
              <w:top w:val="nil"/>
              <w:left w:val="nil"/>
              <w:bottom w:val="single" w:sz="4" w:space="0" w:color="auto"/>
              <w:right w:val="nil"/>
            </w:tcBorders>
            <w:shd w:val="clear" w:color="auto" w:fill="auto"/>
            <w:vAlign w:val="center"/>
            <w:hideMark/>
          </w:tcPr>
          <w:p w14:paraId="035B3620"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p>
        </w:tc>
        <w:tc>
          <w:tcPr>
            <w:tcW w:w="1833" w:type="dxa"/>
            <w:tcBorders>
              <w:top w:val="nil"/>
              <w:left w:val="nil"/>
              <w:bottom w:val="single" w:sz="4" w:space="0" w:color="auto"/>
              <w:right w:val="nil"/>
            </w:tcBorders>
            <w:shd w:val="clear" w:color="auto" w:fill="auto"/>
            <w:vAlign w:val="center"/>
            <w:hideMark/>
          </w:tcPr>
          <w:p w14:paraId="5D382E42"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High</w:t>
            </w:r>
          </w:p>
        </w:tc>
        <w:tc>
          <w:tcPr>
            <w:tcW w:w="2419" w:type="dxa"/>
            <w:tcBorders>
              <w:top w:val="nil"/>
              <w:left w:val="nil"/>
              <w:bottom w:val="single" w:sz="4" w:space="0" w:color="auto"/>
              <w:right w:val="nil"/>
            </w:tcBorders>
            <w:shd w:val="clear" w:color="auto" w:fill="auto"/>
            <w:vAlign w:val="center"/>
            <w:hideMark/>
          </w:tcPr>
          <w:p w14:paraId="4F538280"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40 (7.4)</w:t>
            </w:r>
            <w:r w:rsidRPr="00162B16">
              <w:rPr>
                <w:rFonts w:cs="Times New Roman"/>
                <w:noProof w:val="0"/>
                <w:color w:val="auto"/>
                <w:sz w:val="20"/>
                <w:szCs w:val="20"/>
                <w:vertAlign w:val="superscript"/>
                <w:lang w:val="en-US"/>
              </w:rPr>
              <w:t xml:space="preserve"> a</w:t>
            </w:r>
          </w:p>
        </w:tc>
        <w:tc>
          <w:tcPr>
            <w:tcW w:w="1864" w:type="dxa"/>
            <w:tcBorders>
              <w:top w:val="nil"/>
              <w:left w:val="nil"/>
              <w:bottom w:val="single" w:sz="4" w:space="0" w:color="auto"/>
              <w:right w:val="nil"/>
            </w:tcBorders>
            <w:shd w:val="clear" w:color="auto" w:fill="auto"/>
            <w:vAlign w:val="center"/>
            <w:hideMark/>
          </w:tcPr>
          <w:p w14:paraId="51C25140"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41 (7.5)</w:t>
            </w:r>
            <w:r w:rsidRPr="00162B16">
              <w:rPr>
                <w:rFonts w:cs="Times New Roman"/>
                <w:noProof w:val="0"/>
                <w:color w:val="auto"/>
                <w:sz w:val="20"/>
                <w:szCs w:val="20"/>
                <w:vertAlign w:val="superscript"/>
                <w:lang w:val="en-US"/>
              </w:rPr>
              <w:t xml:space="preserve"> a</w:t>
            </w:r>
          </w:p>
        </w:tc>
        <w:tc>
          <w:tcPr>
            <w:tcW w:w="1052" w:type="dxa"/>
            <w:vMerge/>
            <w:tcBorders>
              <w:top w:val="nil"/>
              <w:left w:val="nil"/>
              <w:bottom w:val="single" w:sz="4" w:space="0" w:color="auto"/>
              <w:right w:val="nil"/>
            </w:tcBorders>
            <w:shd w:val="clear" w:color="auto" w:fill="auto"/>
            <w:vAlign w:val="center"/>
            <w:hideMark/>
          </w:tcPr>
          <w:p w14:paraId="26B3DB8B"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p>
        </w:tc>
      </w:tr>
      <w:tr w:rsidR="004B6662" w:rsidRPr="00162B16" w14:paraId="2C8B45EE" w14:textId="77777777" w:rsidTr="00FE28E0">
        <w:tc>
          <w:tcPr>
            <w:tcW w:w="7857" w:type="dxa"/>
            <w:gridSpan w:val="5"/>
            <w:tcBorders>
              <w:top w:val="single" w:sz="4" w:space="0" w:color="auto"/>
              <w:left w:val="nil"/>
              <w:bottom w:val="single" w:sz="8" w:space="0" w:color="auto"/>
              <w:right w:val="nil"/>
            </w:tcBorders>
            <w:shd w:val="clear" w:color="auto" w:fill="auto"/>
            <w:vAlign w:val="center"/>
            <w:hideMark/>
          </w:tcPr>
          <w:p w14:paraId="04D3D7A7"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r w:rsidRPr="00162B16">
              <w:rPr>
                <w:rFonts w:cs="Times New Roman"/>
                <w:noProof w:val="0"/>
                <w:color w:val="auto"/>
                <w:sz w:val="20"/>
                <w:szCs w:val="20"/>
                <w:lang w:val="en-US"/>
              </w:rPr>
              <w:t xml:space="preserve">* </w:t>
            </w:r>
            <w:proofErr w:type="gramStart"/>
            <w:r w:rsidRPr="00162B16">
              <w:rPr>
                <w:rFonts w:cs="Times New Roman"/>
                <w:noProof w:val="0"/>
                <w:color w:val="auto"/>
                <w:sz w:val="20"/>
                <w:szCs w:val="20"/>
                <w:lang w:val="en-US"/>
              </w:rPr>
              <w:t>indicates</w:t>
            </w:r>
            <w:proofErr w:type="gramEnd"/>
            <w:r w:rsidRPr="00162B16">
              <w:rPr>
                <w:rFonts w:cs="Times New Roman"/>
                <w:noProof w:val="0"/>
                <w:color w:val="auto"/>
                <w:sz w:val="20"/>
                <w:szCs w:val="20"/>
                <w:lang w:val="en-US"/>
              </w:rPr>
              <w:t xml:space="preserve"> significance at 0.05 level</w:t>
            </w:r>
          </w:p>
          <w:p w14:paraId="4E04E328" w14:textId="77777777" w:rsidR="004B6662" w:rsidRPr="00162B16" w:rsidRDefault="004B6662" w:rsidP="00FE28E0">
            <w:pPr>
              <w:autoSpaceDE w:val="0"/>
              <w:autoSpaceDN w:val="0"/>
              <w:adjustRightInd w:val="0"/>
              <w:snapToGrid w:val="0"/>
              <w:spacing w:line="240" w:lineRule="auto"/>
              <w:jc w:val="center"/>
              <w:rPr>
                <w:rFonts w:cs="Times New Roman"/>
                <w:noProof w:val="0"/>
                <w:color w:val="auto"/>
                <w:sz w:val="20"/>
                <w:szCs w:val="20"/>
                <w:lang w:val="en-US"/>
              </w:rPr>
            </w:pPr>
          </w:p>
        </w:tc>
      </w:tr>
    </w:tbl>
    <w:p w14:paraId="5C9A613C" w14:textId="7A434AF5" w:rsidR="004B6662" w:rsidRPr="00162B16" w:rsidRDefault="004B6662" w:rsidP="00D2168E">
      <w:pPr>
        <w:pStyle w:val="MDPI31text"/>
        <w:rPr>
          <w:color w:val="auto"/>
        </w:rPr>
      </w:pPr>
    </w:p>
    <w:p w14:paraId="029FA187" w14:textId="5F0E2AED" w:rsidR="004B6662" w:rsidRPr="00162B16" w:rsidRDefault="004B6662" w:rsidP="00D2168E">
      <w:pPr>
        <w:pStyle w:val="MDPI31text"/>
        <w:rPr>
          <w:color w:val="auto"/>
        </w:rPr>
      </w:pPr>
    </w:p>
    <w:p w14:paraId="16E45D05" w14:textId="62E351C1" w:rsidR="004B6662" w:rsidRPr="00162B16" w:rsidRDefault="004B6662" w:rsidP="004B6662">
      <w:pPr>
        <w:pStyle w:val="MDPI41tablecaption"/>
        <w:rPr>
          <w:color w:val="auto"/>
        </w:rPr>
      </w:pPr>
      <w:r w:rsidRPr="00162B16">
        <w:rPr>
          <w:b/>
          <w:color w:val="auto"/>
        </w:rPr>
        <w:t xml:space="preserve">Table 5. </w:t>
      </w:r>
      <w:r w:rsidRPr="00162B16">
        <w:rPr>
          <w:color w:val="auto"/>
        </w:rPr>
        <w:t>Total MET min per week and independent variables.</w:t>
      </w:r>
    </w:p>
    <w:tbl>
      <w:tblPr>
        <w:tblStyle w:val="TableGrid"/>
        <w:tblW w:w="4004"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7"/>
        <w:gridCol w:w="646"/>
        <w:gridCol w:w="1605"/>
        <w:gridCol w:w="1605"/>
        <w:gridCol w:w="1718"/>
      </w:tblGrid>
      <w:tr w:rsidR="00162B16" w:rsidRPr="00162B16" w14:paraId="4BE2123E" w14:textId="77777777" w:rsidTr="005B7F2F">
        <w:trPr>
          <w:jc w:val="center"/>
        </w:trPr>
        <w:tc>
          <w:tcPr>
            <w:tcW w:w="0" w:type="auto"/>
            <w:tcBorders>
              <w:top w:val="single" w:sz="4" w:space="0" w:color="auto"/>
              <w:left w:val="nil"/>
              <w:bottom w:val="nil"/>
              <w:right w:val="nil"/>
            </w:tcBorders>
            <w:vAlign w:val="center"/>
            <w:hideMark/>
          </w:tcPr>
          <w:p w14:paraId="460C4C01" w14:textId="77777777" w:rsidR="00021DB6" w:rsidRPr="00162B16" w:rsidRDefault="00021DB6" w:rsidP="00D2168E">
            <w:pPr>
              <w:adjustRightInd w:val="0"/>
              <w:snapToGrid w:val="0"/>
              <w:spacing w:line="240" w:lineRule="auto"/>
              <w:rPr>
                <w:noProof w:val="0"/>
                <w:color w:val="auto"/>
              </w:rPr>
            </w:pPr>
            <w:r w:rsidRPr="00162B16">
              <w:rPr>
                <w:noProof w:val="0"/>
                <w:color w:val="auto"/>
              </w:rPr>
              <w:t>Variable</w:t>
            </w:r>
          </w:p>
        </w:tc>
        <w:tc>
          <w:tcPr>
            <w:tcW w:w="0" w:type="auto"/>
            <w:tcBorders>
              <w:top w:val="single" w:sz="4" w:space="0" w:color="auto"/>
              <w:left w:val="nil"/>
              <w:bottom w:val="nil"/>
              <w:right w:val="nil"/>
            </w:tcBorders>
            <w:vAlign w:val="center"/>
          </w:tcPr>
          <w:p w14:paraId="60CC9755" w14:textId="77777777" w:rsidR="00021DB6" w:rsidRPr="00162B16" w:rsidRDefault="00021DB6" w:rsidP="00D2168E">
            <w:pPr>
              <w:adjustRightInd w:val="0"/>
              <w:snapToGrid w:val="0"/>
              <w:spacing w:line="240" w:lineRule="auto"/>
              <w:rPr>
                <w:noProof w:val="0"/>
                <w:color w:val="auto"/>
              </w:rPr>
            </w:pPr>
          </w:p>
        </w:tc>
        <w:tc>
          <w:tcPr>
            <w:tcW w:w="0" w:type="auto"/>
            <w:tcBorders>
              <w:top w:val="single" w:sz="4" w:space="0" w:color="auto"/>
              <w:left w:val="nil"/>
              <w:bottom w:val="nil"/>
              <w:right w:val="nil"/>
            </w:tcBorders>
            <w:vAlign w:val="center"/>
            <w:hideMark/>
          </w:tcPr>
          <w:p w14:paraId="23D670F8" w14:textId="4A6C109A" w:rsidR="00021DB6" w:rsidRPr="00162B16" w:rsidRDefault="00021DB6" w:rsidP="00D2168E">
            <w:pPr>
              <w:adjustRightInd w:val="0"/>
              <w:snapToGrid w:val="0"/>
              <w:spacing w:line="240" w:lineRule="auto"/>
              <w:rPr>
                <w:noProof w:val="0"/>
                <w:color w:val="auto"/>
              </w:rPr>
            </w:pPr>
            <w:r w:rsidRPr="00162B16">
              <w:rPr>
                <w:noProof w:val="0"/>
                <w:color w:val="auto"/>
              </w:rPr>
              <w:t>2002</w:t>
            </w:r>
            <w:r w:rsidR="008171BF" w:rsidRPr="00162B16">
              <w:rPr>
                <w:noProof w:val="0"/>
                <w:color w:val="auto"/>
              </w:rPr>
              <w:t xml:space="preserve"> (n = 912)</w:t>
            </w:r>
          </w:p>
        </w:tc>
        <w:tc>
          <w:tcPr>
            <w:tcW w:w="0" w:type="auto"/>
            <w:tcBorders>
              <w:top w:val="single" w:sz="4" w:space="0" w:color="auto"/>
              <w:left w:val="nil"/>
              <w:bottom w:val="nil"/>
              <w:right w:val="nil"/>
            </w:tcBorders>
            <w:vAlign w:val="center"/>
            <w:hideMark/>
          </w:tcPr>
          <w:p w14:paraId="74B8B2CE" w14:textId="42183BE5" w:rsidR="00021DB6" w:rsidRPr="00162B16" w:rsidRDefault="00021DB6" w:rsidP="00D2168E">
            <w:pPr>
              <w:adjustRightInd w:val="0"/>
              <w:snapToGrid w:val="0"/>
              <w:spacing w:line="240" w:lineRule="auto"/>
              <w:rPr>
                <w:noProof w:val="0"/>
                <w:color w:val="auto"/>
              </w:rPr>
            </w:pPr>
            <w:r w:rsidRPr="00162B16">
              <w:rPr>
                <w:noProof w:val="0"/>
                <w:color w:val="auto"/>
              </w:rPr>
              <w:t>2008</w:t>
            </w:r>
            <w:r w:rsidR="008171BF" w:rsidRPr="00162B16">
              <w:rPr>
                <w:noProof w:val="0"/>
                <w:color w:val="auto"/>
              </w:rPr>
              <w:t xml:space="preserve"> (n = 790)</w:t>
            </w:r>
          </w:p>
        </w:tc>
        <w:tc>
          <w:tcPr>
            <w:tcW w:w="0" w:type="auto"/>
            <w:tcBorders>
              <w:top w:val="single" w:sz="4" w:space="0" w:color="auto"/>
              <w:left w:val="nil"/>
              <w:bottom w:val="nil"/>
              <w:right w:val="nil"/>
            </w:tcBorders>
            <w:vAlign w:val="center"/>
            <w:hideMark/>
          </w:tcPr>
          <w:p w14:paraId="6CB08B6F" w14:textId="2DC1699E" w:rsidR="00021DB6" w:rsidRPr="00162B16" w:rsidRDefault="00021DB6" w:rsidP="00D2168E">
            <w:pPr>
              <w:adjustRightInd w:val="0"/>
              <w:snapToGrid w:val="0"/>
              <w:spacing w:line="240" w:lineRule="auto"/>
              <w:rPr>
                <w:noProof w:val="0"/>
                <w:color w:val="auto"/>
              </w:rPr>
            </w:pPr>
            <w:r w:rsidRPr="00162B16">
              <w:rPr>
                <w:noProof w:val="0"/>
                <w:color w:val="auto"/>
              </w:rPr>
              <w:t>2014</w:t>
            </w:r>
            <w:r w:rsidR="008171BF" w:rsidRPr="00162B16">
              <w:rPr>
                <w:noProof w:val="0"/>
                <w:color w:val="auto"/>
              </w:rPr>
              <w:t xml:space="preserve"> (n = 1082)</w:t>
            </w:r>
          </w:p>
        </w:tc>
      </w:tr>
      <w:tr w:rsidR="00162B16" w:rsidRPr="00162B16" w14:paraId="1439A971" w14:textId="77777777" w:rsidTr="005B7F2F">
        <w:trPr>
          <w:jc w:val="center"/>
        </w:trPr>
        <w:tc>
          <w:tcPr>
            <w:tcW w:w="0" w:type="auto"/>
            <w:gridSpan w:val="2"/>
            <w:vAlign w:val="center"/>
            <w:hideMark/>
          </w:tcPr>
          <w:p w14:paraId="3AE2A42C" w14:textId="77777777" w:rsidR="00021DB6" w:rsidRPr="00162B16" w:rsidRDefault="00021DB6" w:rsidP="00D2168E">
            <w:pPr>
              <w:adjustRightInd w:val="0"/>
              <w:snapToGrid w:val="0"/>
              <w:spacing w:line="240" w:lineRule="auto"/>
              <w:rPr>
                <w:noProof w:val="0"/>
                <w:color w:val="auto"/>
                <w:vertAlign w:val="superscript"/>
              </w:rPr>
            </w:pPr>
            <w:r w:rsidRPr="00162B16">
              <w:rPr>
                <w:noProof w:val="0"/>
                <w:color w:val="auto"/>
              </w:rPr>
              <w:t>Activity limitation</w:t>
            </w:r>
            <w:r w:rsidRPr="00162B16">
              <w:rPr>
                <w:noProof w:val="0"/>
                <w:color w:val="auto"/>
                <w:vertAlign w:val="superscript"/>
              </w:rPr>
              <w:t>^</w:t>
            </w:r>
          </w:p>
        </w:tc>
        <w:tc>
          <w:tcPr>
            <w:tcW w:w="0" w:type="auto"/>
            <w:vAlign w:val="center"/>
            <w:hideMark/>
          </w:tcPr>
          <w:p w14:paraId="23C1090C" w14:textId="77777777" w:rsidR="00021DB6" w:rsidRPr="00162B16" w:rsidRDefault="00021DB6" w:rsidP="00D2168E">
            <w:pPr>
              <w:adjustRightInd w:val="0"/>
              <w:snapToGrid w:val="0"/>
              <w:spacing w:line="240" w:lineRule="auto"/>
              <w:rPr>
                <w:noProof w:val="0"/>
                <w:color w:val="auto"/>
              </w:rPr>
            </w:pPr>
            <w:r w:rsidRPr="00162B16">
              <w:rPr>
                <w:noProof w:val="0"/>
                <w:color w:val="auto"/>
              </w:rPr>
              <w:t>-5.796**</w:t>
            </w:r>
          </w:p>
        </w:tc>
        <w:tc>
          <w:tcPr>
            <w:tcW w:w="0" w:type="auto"/>
            <w:vAlign w:val="center"/>
            <w:hideMark/>
          </w:tcPr>
          <w:p w14:paraId="3F84DBC3" w14:textId="77777777" w:rsidR="00021DB6" w:rsidRPr="00162B16" w:rsidRDefault="00021DB6" w:rsidP="00D2168E">
            <w:pPr>
              <w:adjustRightInd w:val="0"/>
              <w:snapToGrid w:val="0"/>
              <w:spacing w:line="240" w:lineRule="auto"/>
              <w:rPr>
                <w:noProof w:val="0"/>
                <w:color w:val="auto"/>
              </w:rPr>
            </w:pPr>
            <w:r w:rsidRPr="00162B16">
              <w:rPr>
                <w:noProof w:val="0"/>
                <w:color w:val="auto"/>
              </w:rPr>
              <w:t>-2.611**</w:t>
            </w:r>
          </w:p>
        </w:tc>
        <w:tc>
          <w:tcPr>
            <w:tcW w:w="0" w:type="auto"/>
            <w:vAlign w:val="center"/>
            <w:hideMark/>
          </w:tcPr>
          <w:p w14:paraId="66EFAFD7" w14:textId="77777777" w:rsidR="00021DB6" w:rsidRPr="00162B16" w:rsidRDefault="00021DB6" w:rsidP="00D2168E">
            <w:pPr>
              <w:adjustRightInd w:val="0"/>
              <w:snapToGrid w:val="0"/>
              <w:spacing w:line="240" w:lineRule="auto"/>
              <w:rPr>
                <w:noProof w:val="0"/>
                <w:color w:val="auto"/>
              </w:rPr>
            </w:pPr>
            <w:r w:rsidRPr="00162B16">
              <w:rPr>
                <w:noProof w:val="0"/>
                <w:color w:val="auto"/>
              </w:rPr>
              <w:t>-4.972**</w:t>
            </w:r>
          </w:p>
        </w:tc>
      </w:tr>
      <w:tr w:rsidR="00162B16" w:rsidRPr="00162B16" w14:paraId="75C187B9" w14:textId="77777777" w:rsidTr="005B7F2F">
        <w:trPr>
          <w:jc w:val="center"/>
        </w:trPr>
        <w:tc>
          <w:tcPr>
            <w:tcW w:w="0" w:type="auto"/>
            <w:gridSpan w:val="2"/>
            <w:vAlign w:val="center"/>
            <w:hideMark/>
          </w:tcPr>
          <w:p w14:paraId="032621D5" w14:textId="77777777" w:rsidR="00021DB6" w:rsidRPr="00162B16" w:rsidRDefault="00021DB6" w:rsidP="00D2168E">
            <w:pPr>
              <w:adjustRightInd w:val="0"/>
              <w:snapToGrid w:val="0"/>
              <w:spacing w:line="240" w:lineRule="auto"/>
              <w:rPr>
                <w:noProof w:val="0"/>
                <w:color w:val="auto"/>
                <w:vertAlign w:val="superscript"/>
              </w:rPr>
            </w:pPr>
            <w:r w:rsidRPr="00162B16">
              <w:rPr>
                <w:noProof w:val="0"/>
                <w:color w:val="auto"/>
              </w:rPr>
              <w:t>Long standing health problems</w:t>
            </w:r>
            <w:r w:rsidRPr="00162B16">
              <w:rPr>
                <w:noProof w:val="0"/>
                <w:color w:val="auto"/>
                <w:vertAlign w:val="superscript"/>
              </w:rPr>
              <w:t>^</w:t>
            </w:r>
          </w:p>
        </w:tc>
        <w:tc>
          <w:tcPr>
            <w:tcW w:w="0" w:type="auto"/>
            <w:vAlign w:val="center"/>
            <w:hideMark/>
          </w:tcPr>
          <w:p w14:paraId="68EC8A52" w14:textId="77777777" w:rsidR="00021DB6" w:rsidRPr="00162B16" w:rsidRDefault="00021DB6" w:rsidP="00D2168E">
            <w:pPr>
              <w:adjustRightInd w:val="0"/>
              <w:snapToGrid w:val="0"/>
              <w:spacing w:line="240" w:lineRule="auto"/>
              <w:rPr>
                <w:noProof w:val="0"/>
                <w:color w:val="auto"/>
              </w:rPr>
            </w:pPr>
            <w:r w:rsidRPr="00162B16">
              <w:rPr>
                <w:noProof w:val="0"/>
                <w:color w:val="auto"/>
              </w:rPr>
              <w:t>-5.539**</w:t>
            </w:r>
          </w:p>
        </w:tc>
        <w:tc>
          <w:tcPr>
            <w:tcW w:w="0" w:type="auto"/>
            <w:vAlign w:val="center"/>
            <w:hideMark/>
          </w:tcPr>
          <w:p w14:paraId="5583507E" w14:textId="77777777" w:rsidR="00021DB6" w:rsidRPr="00162B16" w:rsidRDefault="00021DB6" w:rsidP="00D2168E">
            <w:pPr>
              <w:adjustRightInd w:val="0"/>
              <w:snapToGrid w:val="0"/>
              <w:spacing w:line="240" w:lineRule="auto"/>
              <w:rPr>
                <w:noProof w:val="0"/>
                <w:color w:val="auto"/>
              </w:rPr>
            </w:pPr>
            <w:r w:rsidRPr="00162B16">
              <w:rPr>
                <w:noProof w:val="0"/>
                <w:color w:val="auto"/>
              </w:rPr>
              <w:t>-2.773**</w:t>
            </w:r>
          </w:p>
        </w:tc>
        <w:tc>
          <w:tcPr>
            <w:tcW w:w="0" w:type="auto"/>
            <w:vAlign w:val="center"/>
            <w:hideMark/>
          </w:tcPr>
          <w:p w14:paraId="29B3E76A" w14:textId="77777777" w:rsidR="00021DB6" w:rsidRPr="00162B16" w:rsidRDefault="00021DB6" w:rsidP="00D2168E">
            <w:pPr>
              <w:adjustRightInd w:val="0"/>
              <w:snapToGrid w:val="0"/>
              <w:spacing w:line="240" w:lineRule="auto"/>
              <w:rPr>
                <w:noProof w:val="0"/>
                <w:color w:val="auto"/>
              </w:rPr>
            </w:pPr>
            <w:r w:rsidRPr="00162B16">
              <w:rPr>
                <w:noProof w:val="0"/>
                <w:color w:val="auto"/>
              </w:rPr>
              <w:t>-7.065**</w:t>
            </w:r>
          </w:p>
        </w:tc>
      </w:tr>
      <w:tr w:rsidR="00162B16" w:rsidRPr="00162B16" w14:paraId="1774F3E2" w14:textId="77777777" w:rsidTr="005B7F2F">
        <w:trPr>
          <w:jc w:val="center"/>
        </w:trPr>
        <w:tc>
          <w:tcPr>
            <w:tcW w:w="0" w:type="auto"/>
            <w:gridSpan w:val="2"/>
            <w:vAlign w:val="center"/>
            <w:hideMark/>
          </w:tcPr>
          <w:p w14:paraId="1C80C995" w14:textId="77777777" w:rsidR="00021DB6" w:rsidRPr="00162B16" w:rsidRDefault="00021DB6" w:rsidP="00D2168E">
            <w:pPr>
              <w:adjustRightInd w:val="0"/>
              <w:snapToGrid w:val="0"/>
              <w:spacing w:line="240" w:lineRule="auto"/>
              <w:rPr>
                <w:noProof w:val="0"/>
                <w:color w:val="auto"/>
              </w:rPr>
            </w:pPr>
            <w:r w:rsidRPr="00162B16">
              <w:rPr>
                <w:noProof w:val="0"/>
                <w:color w:val="auto"/>
              </w:rPr>
              <w:t>Smoking</w:t>
            </w:r>
            <w:r w:rsidRPr="00162B16">
              <w:rPr>
                <w:noProof w:val="0"/>
                <w:color w:val="auto"/>
                <w:vertAlign w:val="superscript"/>
              </w:rPr>
              <w:t>^</w:t>
            </w:r>
          </w:p>
        </w:tc>
        <w:tc>
          <w:tcPr>
            <w:tcW w:w="0" w:type="auto"/>
            <w:vAlign w:val="center"/>
            <w:hideMark/>
          </w:tcPr>
          <w:p w14:paraId="13C218E5" w14:textId="77777777" w:rsidR="00021DB6" w:rsidRPr="00162B16" w:rsidRDefault="00021DB6" w:rsidP="00D2168E">
            <w:pPr>
              <w:adjustRightInd w:val="0"/>
              <w:snapToGrid w:val="0"/>
              <w:spacing w:line="240" w:lineRule="auto"/>
              <w:rPr>
                <w:noProof w:val="0"/>
                <w:color w:val="auto"/>
              </w:rPr>
            </w:pPr>
            <w:r w:rsidRPr="00162B16">
              <w:rPr>
                <w:noProof w:val="0"/>
                <w:color w:val="auto"/>
              </w:rPr>
              <w:t>-0.508</w:t>
            </w:r>
          </w:p>
        </w:tc>
        <w:tc>
          <w:tcPr>
            <w:tcW w:w="0" w:type="auto"/>
            <w:vAlign w:val="center"/>
            <w:hideMark/>
          </w:tcPr>
          <w:p w14:paraId="1841D2C6" w14:textId="77777777" w:rsidR="00021DB6" w:rsidRPr="00162B16" w:rsidRDefault="00021DB6" w:rsidP="00D2168E">
            <w:pPr>
              <w:adjustRightInd w:val="0"/>
              <w:snapToGrid w:val="0"/>
              <w:spacing w:line="240" w:lineRule="auto"/>
              <w:rPr>
                <w:noProof w:val="0"/>
                <w:color w:val="auto"/>
              </w:rPr>
            </w:pPr>
            <w:r w:rsidRPr="00162B16">
              <w:rPr>
                <w:noProof w:val="0"/>
                <w:color w:val="auto"/>
              </w:rPr>
              <w:t>-0.523</w:t>
            </w:r>
          </w:p>
        </w:tc>
        <w:tc>
          <w:tcPr>
            <w:tcW w:w="0" w:type="auto"/>
            <w:vAlign w:val="center"/>
            <w:hideMark/>
          </w:tcPr>
          <w:p w14:paraId="303FB7A5" w14:textId="77777777" w:rsidR="00021DB6" w:rsidRPr="00162B16" w:rsidRDefault="00021DB6" w:rsidP="00D2168E">
            <w:pPr>
              <w:adjustRightInd w:val="0"/>
              <w:snapToGrid w:val="0"/>
              <w:spacing w:line="240" w:lineRule="auto"/>
              <w:rPr>
                <w:noProof w:val="0"/>
                <w:color w:val="auto"/>
              </w:rPr>
            </w:pPr>
            <w:r w:rsidRPr="00162B16">
              <w:rPr>
                <w:noProof w:val="0"/>
                <w:color w:val="auto"/>
              </w:rPr>
              <w:t>-1.678</w:t>
            </w:r>
          </w:p>
        </w:tc>
      </w:tr>
      <w:tr w:rsidR="00162B16" w:rsidRPr="00162B16" w14:paraId="34AD6467" w14:textId="77777777" w:rsidTr="005B7F2F">
        <w:trPr>
          <w:jc w:val="center"/>
        </w:trPr>
        <w:tc>
          <w:tcPr>
            <w:tcW w:w="0" w:type="auto"/>
            <w:gridSpan w:val="2"/>
            <w:vAlign w:val="center"/>
            <w:hideMark/>
          </w:tcPr>
          <w:p w14:paraId="7CBCEEC1" w14:textId="77777777" w:rsidR="00021DB6" w:rsidRPr="00162B16" w:rsidRDefault="00021DB6" w:rsidP="00D2168E">
            <w:pPr>
              <w:adjustRightInd w:val="0"/>
              <w:snapToGrid w:val="0"/>
              <w:spacing w:line="240" w:lineRule="auto"/>
              <w:rPr>
                <w:noProof w:val="0"/>
                <w:color w:val="auto"/>
              </w:rPr>
            </w:pPr>
            <w:r w:rsidRPr="00162B16">
              <w:rPr>
                <w:noProof w:val="0"/>
                <w:color w:val="auto"/>
              </w:rPr>
              <w:t>Sex (male)</w:t>
            </w:r>
            <w:r w:rsidRPr="00162B16">
              <w:rPr>
                <w:noProof w:val="0"/>
                <w:color w:val="auto"/>
                <w:vertAlign w:val="superscript"/>
              </w:rPr>
              <w:t>^</w:t>
            </w:r>
          </w:p>
        </w:tc>
        <w:tc>
          <w:tcPr>
            <w:tcW w:w="0" w:type="auto"/>
            <w:vAlign w:val="center"/>
            <w:hideMark/>
          </w:tcPr>
          <w:p w14:paraId="77205127" w14:textId="77777777" w:rsidR="00021DB6" w:rsidRPr="00162B16" w:rsidRDefault="00021DB6" w:rsidP="00D2168E">
            <w:pPr>
              <w:adjustRightInd w:val="0"/>
              <w:snapToGrid w:val="0"/>
              <w:spacing w:line="240" w:lineRule="auto"/>
              <w:rPr>
                <w:noProof w:val="0"/>
                <w:color w:val="auto"/>
              </w:rPr>
            </w:pPr>
            <w:r w:rsidRPr="00162B16">
              <w:rPr>
                <w:noProof w:val="0"/>
                <w:color w:val="auto"/>
              </w:rPr>
              <w:t>-3.334**</w:t>
            </w:r>
          </w:p>
        </w:tc>
        <w:tc>
          <w:tcPr>
            <w:tcW w:w="0" w:type="auto"/>
            <w:vAlign w:val="center"/>
            <w:hideMark/>
          </w:tcPr>
          <w:p w14:paraId="2DD64CDD" w14:textId="77777777" w:rsidR="00021DB6" w:rsidRPr="00162B16" w:rsidRDefault="00021DB6" w:rsidP="00D2168E">
            <w:pPr>
              <w:adjustRightInd w:val="0"/>
              <w:snapToGrid w:val="0"/>
              <w:spacing w:line="240" w:lineRule="auto"/>
              <w:rPr>
                <w:noProof w:val="0"/>
                <w:color w:val="auto"/>
              </w:rPr>
            </w:pPr>
            <w:r w:rsidRPr="00162B16">
              <w:rPr>
                <w:noProof w:val="0"/>
                <w:color w:val="auto"/>
              </w:rPr>
              <w:t>-2.869*</w:t>
            </w:r>
          </w:p>
        </w:tc>
        <w:tc>
          <w:tcPr>
            <w:tcW w:w="0" w:type="auto"/>
            <w:vAlign w:val="center"/>
            <w:hideMark/>
          </w:tcPr>
          <w:p w14:paraId="114F9254" w14:textId="77777777" w:rsidR="00021DB6" w:rsidRPr="00162B16" w:rsidRDefault="00021DB6" w:rsidP="00D2168E">
            <w:pPr>
              <w:adjustRightInd w:val="0"/>
              <w:snapToGrid w:val="0"/>
              <w:spacing w:line="240" w:lineRule="auto"/>
              <w:rPr>
                <w:noProof w:val="0"/>
                <w:color w:val="auto"/>
              </w:rPr>
            </w:pPr>
            <w:r w:rsidRPr="00162B16">
              <w:rPr>
                <w:noProof w:val="0"/>
                <w:color w:val="auto"/>
              </w:rPr>
              <w:t>-0.441</w:t>
            </w:r>
          </w:p>
        </w:tc>
      </w:tr>
      <w:tr w:rsidR="00162B16" w:rsidRPr="00162B16" w14:paraId="6FA07BA9" w14:textId="77777777" w:rsidTr="005B7F2F">
        <w:trPr>
          <w:jc w:val="center"/>
        </w:trPr>
        <w:tc>
          <w:tcPr>
            <w:tcW w:w="0" w:type="auto"/>
            <w:gridSpan w:val="2"/>
            <w:vAlign w:val="center"/>
            <w:hideMark/>
          </w:tcPr>
          <w:p w14:paraId="7AF18C9F" w14:textId="77777777" w:rsidR="00021DB6" w:rsidRPr="00162B16" w:rsidRDefault="00021DB6" w:rsidP="00D2168E">
            <w:pPr>
              <w:adjustRightInd w:val="0"/>
              <w:snapToGrid w:val="0"/>
              <w:spacing w:line="240" w:lineRule="auto"/>
              <w:rPr>
                <w:noProof w:val="0"/>
                <w:color w:val="auto"/>
                <w:vertAlign w:val="superscript"/>
              </w:rPr>
            </w:pPr>
            <w:r w:rsidRPr="00162B16">
              <w:rPr>
                <w:noProof w:val="0"/>
                <w:color w:val="auto"/>
              </w:rPr>
              <w:t>Self-rated health</w:t>
            </w:r>
            <w:r w:rsidRPr="00162B16">
              <w:rPr>
                <w:noProof w:val="0"/>
                <w:color w:val="auto"/>
                <w:vertAlign w:val="superscript"/>
              </w:rPr>
              <w:t>~</w:t>
            </w:r>
          </w:p>
        </w:tc>
        <w:tc>
          <w:tcPr>
            <w:tcW w:w="0" w:type="auto"/>
            <w:vAlign w:val="center"/>
            <w:hideMark/>
          </w:tcPr>
          <w:p w14:paraId="1FAC9B5C" w14:textId="77777777" w:rsidR="00021DB6" w:rsidRPr="00162B16" w:rsidRDefault="00021DB6" w:rsidP="00D2168E">
            <w:pPr>
              <w:adjustRightInd w:val="0"/>
              <w:snapToGrid w:val="0"/>
              <w:spacing w:line="240" w:lineRule="auto"/>
              <w:rPr>
                <w:noProof w:val="0"/>
                <w:color w:val="auto"/>
              </w:rPr>
            </w:pPr>
            <w:r w:rsidRPr="00162B16">
              <w:rPr>
                <w:noProof w:val="0"/>
                <w:color w:val="auto"/>
              </w:rPr>
              <w:t>&lt;0.001**</w:t>
            </w:r>
          </w:p>
        </w:tc>
        <w:tc>
          <w:tcPr>
            <w:tcW w:w="0" w:type="auto"/>
            <w:vAlign w:val="center"/>
            <w:hideMark/>
          </w:tcPr>
          <w:p w14:paraId="3BD0EBF8" w14:textId="77777777" w:rsidR="00021DB6" w:rsidRPr="00162B16" w:rsidRDefault="00021DB6" w:rsidP="00D2168E">
            <w:pPr>
              <w:adjustRightInd w:val="0"/>
              <w:snapToGrid w:val="0"/>
              <w:spacing w:line="240" w:lineRule="auto"/>
              <w:rPr>
                <w:noProof w:val="0"/>
                <w:color w:val="auto"/>
              </w:rPr>
            </w:pPr>
            <w:r w:rsidRPr="00162B16">
              <w:rPr>
                <w:noProof w:val="0"/>
                <w:color w:val="auto"/>
              </w:rPr>
              <w:t>&lt;0.001**</w:t>
            </w:r>
          </w:p>
        </w:tc>
        <w:tc>
          <w:tcPr>
            <w:tcW w:w="0" w:type="auto"/>
            <w:vAlign w:val="center"/>
            <w:hideMark/>
          </w:tcPr>
          <w:p w14:paraId="58F950E0" w14:textId="77777777" w:rsidR="00021DB6" w:rsidRPr="00162B16" w:rsidRDefault="00021DB6" w:rsidP="00D2168E">
            <w:pPr>
              <w:adjustRightInd w:val="0"/>
              <w:snapToGrid w:val="0"/>
              <w:spacing w:line="240" w:lineRule="auto"/>
              <w:rPr>
                <w:noProof w:val="0"/>
                <w:color w:val="auto"/>
              </w:rPr>
            </w:pPr>
            <w:r w:rsidRPr="00162B16">
              <w:rPr>
                <w:noProof w:val="0"/>
                <w:color w:val="auto"/>
              </w:rPr>
              <w:t>&lt;0.001**</w:t>
            </w:r>
          </w:p>
        </w:tc>
      </w:tr>
      <w:tr w:rsidR="00162B16" w:rsidRPr="00162B16" w14:paraId="66786640" w14:textId="77777777" w:rsidTr="005B7F2F">
        <w:trPr>
          <w:jc w:val="center"/>
        </w:trPr>
        <w:tc>
          <w:tcPr>
            <w:tcW w:w="0" w:type="auto"/>
            <w:gridSpan w:val="2"/>
            <w:vAlign w:val="center"/>
            <w:hideMark/>
          </w:tcPr>
          <w:p w14:paraId="7AB4FDE0" w14:textId="77777777" w:rsidR="00021DB6" w:rsidRPr="00162B16" w:rsidRDefault="00021DB6" w:rsidP="00D2168E">
            <w:pPr>
              <w:adjustRightInd w:val="0"/>
              <w:snapToGrid w:val="0"/>
              <w:spacing w:line="240" w:lineRule="auto"/>
              <w:rPr>
                <w:noProof w:val="0"/>
                <w:color w:val="auto"/>
                <w:vertAlign w:val="superscript"/>
              </w:rPr>
            </w:pPr>
            <w:r w:rsidRPr="00162B16">
              <w:rPr>
                <w:noProof w:val="0"/>
                <w:color w:val="auto"/>
              </w:rPr>
              <w:t>Education</w:t>
            </w:r>
            <w:r w:rsidRPr="00162B16">
              <w:rPr>
                <w:noProof w:val="0"/>
                <w:color w:val="auto"/>
                <w:vertAlign w:val="superscript"/>
              </w:rPr>
              <w:t>~</w:t>
            </w:r>
          </w:p>
        </w:tc>
        <w:tc>
          <w:tcPr>
            <w:tcW w:w="0" w:type="auto"/>
            <w:vAlign w:val="center"/>
            <w:hideMark/>
          </w:tcPr>
          <w:p w14:paraId="0C7C6168" w14:textId="77777777" w:rsidR="00021DB6" w:rsidRPr="00162B16" w:rsidRDefault="00021DB6" w:rsidP="00D2168E">
            <w:pPr>
              <w:adjustRightInd w:val="0"/>
              <w:snapToGrid w:val="0"/>
              <w:spacing w:line="240" w:lineRule="auto"/>
              <w:rPr>
                <w:noProof w:val="0"/>
                <w:color w:val="auto"/>
              </w:rPr>
            </w:pPr>
            <w:r w:rsidRPr="00162B16">
              <w:rPr>
                <w:noProof w:val="0"/>
                <w:color w:val="auto"/>
              </w:rPr>
              <w:t>0.014</w:t>
            </w:r>
          </w:p>
        </w:tc>
        <w:tc>
          <w:tcPr>
            <w:tcW w:w="0" w:type="auto"/>
            <w:vAlign w:val="center"/>
            <w:hideMark/>
          </w:tcPr>
          <w:p w14:paraId="1AB17CF8" w14:textId="77777777" w:rsidR="00021DB6" w:rsidRPr="00162B16" w:rsidRDefault="00021DB6" w:rsidP="00D2168E">
            <w:pPr>
              <w:adjustRightInd w:val="0"/>
              <w:snapToGrid w:val="0"/>
              <w:spacing w:line="240" w:lineRule="auto"/>
              <w:rPr>
                <w:noProof w:val="0"/>
                <w:color w:val="auto"/>
              </w:rPr>
            </w:pPr>
            <w:r w:rsidRPr="00162B16">
              <w:rPr>
                <w:noProof w:val="0"/>
                <w:color w:val="auto"/>
              </w:rPr>
              <w:t>&lt;0.001**</w:t>
            </w:r>
          </w:p>
        </w:tc>
        <w:tc>
          <w:tcPr>
            <w:tcW w:w="0" w:type="auto"/>
            <w:vAlign w:val="center"/>
            <w:hideMark/>
          </w:tcPr>
          <w:p w14:paraId="2613F3B0" w14:textId="77777777" w:rsidR="00021DB6" w:rsidRPr="00162B16" w:rsidRDefault="00021DB6" w:rsidP="00D2168E">
            <w:pPr>
              <w:adjustRightInd w:val="0"/>
              <w:snapToGrid w:val="0"/>
              <w:spacing w:line="240" w:lineRule="auto"/>
              <w:rPr>
                <w:noProof w:val="0"/>
                <w:color w:val="auto"/>
              </w:rPr>
            </w:pPr>
            <w:r w:rsidRPr="00162B16">
              <w:rPr>
                <w:noProof w:val="0"/>
                <w:color w:val="auto"/>
              </w:rPr>
              <w:t>0.010*</w:t>
            </w:r>
          </w:p>
        </w:tc>
      </w:tr>
      <w:tr w:rsidR="00162B16" w:rsidRPr="00162B16" w14:paraId="2A56CC5B" w14:textId="77777777" w:rsidTr="005B7F2F">
        <w:trPr>
          <w:jc w:val="center"/>
        </w:trPr>
        <w:tc>
          <w:tcPr>
            <w:tcW w:w="0" w:type="auto"/>
            <w:gridSpan w:val="2"/>
            <w:vAlign w:val="center"/>
            <w:hideMark/>
          </w:tcPr>
          <w:p w14:paraId="33F791BF" w14:textId="77777777" w:rsidR="00021DB6" w:rsidRPr="00162B16" w:rsidRDefault="00021DB6" w:rsidP="00D2168E">
            <w:pPr>
              <w:adjustRightInd w:val="0"/>
              <w:snapToGrid w:val="0"/>
              <w:spacing w:line="240" w:lineRule="auto"/>
              <w:rPr>
                <w:noProof w:val="0"/>
                <w:color w:val="auto"/>
              </w:rPr>
            </w:pPr>
            <w:r w:rsidRPr="00162B16">
              <w:rPr>
                <w:noProof w:val="0"/>
                <w:color w:val="auto"/>
              </w:rPr>
              <w:t>Employment</w:t>
            </w:r>
            <w:r w:rsidRPr="00162B16">
              <w:rPr>
                <w:noProof w:val="0"/>
                <w:color w:val="auto"/>
                <w:vertAlign w:val="superscript"/>
              </w:rPr>
              <w:t>~</w:t>
            </w:r>
          </w:p>
        </w:tc>
        <w:tc>
          <w:tcPr>
            <w:tcW w:w="0" w:type="auto"/>
            <w:vAlign w:val="center"/>
            <w:hideMark/>
          </w:tcPr>
          <w:p w14:paraId="3B9F26D3" w14:textId="77777777" w:rsidR="00021DB6" w:rsidRPr="00162B16" w:rsidRDefault="00021DB6" w:rsidP="00D2168E">
            <w:pPr>
              <w:adjustRightInd w:val="0"/>
              <w:snapToGrid w:val="0"/>
              <w:spacing w:line="240" w:lineRule="auto"/>
              <w:rPr>
                <w:noProof w:val="0"/>
                <w:color w:val="auto"/>
              </w:rPr>
            </w:pPr>
            <w:r w:rsidRPr="00162B16">
              <w:rPr>
                <w:noProof w:val="0"/>
                <w:color w:val="auto"/>
              </w:rPr>
              <w:t>0.181</w:t>
            </w:r>
          </w:p>
        </w:tc>
        <w:tc>
          <w:tcPr>
            <w:tcW w:w="0" w:type="auto"/>
            <w:vAlign w:val="center"/>
            <w:hideMark/>
          </w:tcPr>
          <w:p w14:paraId="63A14FB5" w14:textId="77777777" w:rsidR="00021DB6" w:rsidRPr="00162B16" w:rsidRDefault="00021DB6" w:rsidP="00D2168E">
            <w:pPr>
              <w:adjustRightInd w:val="0"/>
              <w:snapToGrid w:val="0"/>
              <w:spacing w:line="240" w:lineRule="auto"/>
              <w:rPr>
                <w:noProof w:val="0"/>
                <w:color w:val="auto"/>
              </w:rPr>
            </w:pPr>
            <w:r w:rsidRPr="00162B16">
              <w:rPr>
                <w:noProof w:val="0"/>
                <w:color w:val="auto"/>
              </w:rPr>
              <w:t>0.004*</w:t>
            </w:r>
          </w:p>
        </w:tc>
        <w:tc>
          <w:tcPr>
            <w:tcW w:w="0" w:type="auto"/>
            <w:vAlign w:val="center"/>
            <w:hideMark/>
          </w:tcPr>
          <w:p w14:paraId="3E7BB18A" w14:textId="77777777" w:rsidR="00021DB6" w:rsidRPr="00162B16" w:rsidRDefault="00021DB6" w:rsidP="00D2168E">
            <w:pPr>
              <w:adjustRightInd w:val="0"/>
              <w:snapToGrid w:val="0"/>
              <w:spacing w:line="240" w:lineRule="auto"/>
              <w:rPr>
                <w:noProof w:val="0"/>
                <w:color w:val="auto"/>
              </w:rPr>
            </w:pPr>
            <w:r w:rsidRPr="00162B16">
              <w:rPr>
                <w:noProof w:val="0"/>
                <w:color w:val="auto"/>
              </w:rPr>
              <w:t>0.832</w:t>
            </w:r>
          </w:p>
        </w:tc>
      </w:tr>
      <w:tr w:rsidR="00162B16" w:rsidRPr="00162B16" w14:paraId="4873ED49" w14:textId="77777777" w:rsidTr="005B7F2F">
        <w:trPr>
          <w:jc w:val="center"/>
        </w:trPr>
        <w:tc>
          <w:tcPr>
            <w:tcW w:w="0" w:type="auto"/>
            <w:gridSpan w:val="2"/>
            <w:vAlign w:val="center"/>
            <w:hideMark/>
          </w:tcPr>
          <w:p w14:paraId="5EEA9500" w14:textId="77777777" w:rsidR="00021DB6" w:rsidRPr="00162B16" w:rsidRDefault="00021DB6" w:rsidP="00D2168E">
            <w:pPr>
              <w:adjustRightInd w:val="0"/>
              <w:snapToGrid w:val="0"/>
              <w:spacing w:line="240" w:lineRule="auto"/>
              <w:rPr>
                <w:noProof w:val="0"/>
                <w:color w:val="auto"/>
              </w:rPr>
            </w:pPr>
            <w:r w:rsidRPr="00162B16">
              <w:rPr>
                <w:noProof w:val="0"/>
                <w:color w:val="auto"/>
              </w:rPr>
              <w:t>Chronic conditions</w:t>
            </w:r>
            <w:r w:rsidRPr="00162B16">
              <w:rPr>
                <w:noProof w:val="0"/>
                <w:color w:val="auto"/>
                <w:vertAlign w:val="superscript"/>
              </w:rPr>
              <w:t>+</w:t>
            </w:r>
          </w:p>
        </w:tc>
        <w:tc>
          <w:tcPr>
            <w:tcW w:w="0" w:type="auto"/>
            <w:vAlign w:val="center"/>
            <w:hideMark/>
          </w:tcPr>
          <w:p w14:paraId="686307F3" w14:textId="77777777" w:rsidR="00021DB6" w:rsidRPr="00162B16" w:rsidRDefault="00021DB6" w:rsidP="00D2168E">
            <w:pPr>
              <w:adjustRightInd w:val="0"/>
              <w:snapToGrid w:val="0"/>
              <w:spacing w:line="240" w:lineRule="auto"/>
              <w:rPr>
                <w:noProof w:val="0"/>
                <w:color w:val="auto"/>
              </w:rPr>
            </w:pPr>
            <w:r w:rsidRPr="00162B16">
              <w:rPr>
                <w:noProof w:val="0"/>
                <w:color w:val="auto"/>
              </w:rPr>
              <w:t>-0.104**</w:t>
            </w:r>
          </w:p>
        </w:tc>
        <w:tc>
          <w:tcPr>
            <w:tcW w:w="0" w:type="auto"/>
            <w:vAlign w:val="center"/>
            <w:hideMark/>
          </w:tcPr>
          <w:p w14:paraId="3A34E525" w14:textId="77777777" w:rsidR="00021DB6" w:rsidRPr="00162B16" w:rsidRDefault="00021DB6" w:rsidP="00D2168E">
            <w:pPr>
              <w:adjustRightInd w:val="0"/>
              <w:snapToGrid w:val="0"/>
              <w:spacing w:line="240" w:lineRule="auto"/>
              <w:rPr>
                <w:noProof w:val="0"/>
                <w:color w:val="auto"/>
              </w:rPr>
            </w:pPr>
            <w:r w:rsidRPr="00162B16">
              <w:rPr>
                <w:noProof w:val="0"/>
                <w:color w:val="auto"/>
              </w:rPr>
              <w:t>-0.106**</w:t>
            </w:r>
          </w:p>
        </w:tc>
        <w:tc>
          <w:tcPr>
            <w:tcW w:w="0" w:type="auto"/>
            <w:vAlign w:val="center"/>
            <w:hideMark/>
          </w:tcPr>
          <w:p w14:paraId="1A479D8D" w14:textId="77777777" w:rsidR="00021DB6" w:rsidRPr="00162B16" w:rsidRDefault="00021DB6" w:rsidP="00D2168E">
            <w:pPr>
              <w:adjustRightInd w:val="0"/>
              <w:snapToGrid w:val="0"/>
              <w:spacing w:line="240" w:lineRule="auto"/>
              <w:rPr>
                <w:noProof w:val="0"/>
                <w:color w:val="auto"/>
              </w:rPr>
            </w:pPr>
            <w:r w:rsidRPr="00162B16">
              <w:rPr>
                <w:noProof w:val="0"/>
                <w:color w:val="auto"/>
              </w:rPr>
              <w:t>-0.136**</w:t>
            </w:r>
          </w:p>
        </w:tc>
      </w:tr>
      <w:tr w:rsidR="00162B16" w:rsidRPr="00162B16" w14:paraId="7D300441" w14:textId="77777777" w:rsidTr="005B7F2F">
        <w:trPr>
          <w:jc w:val="center"/>
        </w:trPr>
        <w:tc>
          <w:tcPr>
            <w:tcW w:w="0" w:type="auto"/>
            <w:gridSpan w:val="2"/>
            <w:vAlign w:val="center"/>
            <w:hideMark/>
          </w:tcPr>
          <w:p w14:paraId="2262D2CD" w14:textId="77777777" w:rsidR="00021DB6" w:rsidRPr="00162B16" w:rsidRDefault="00021DB6" w:rsidP="00D2168E">
            <w:pPr>
              <w:adjustRightInd w:val="0"/>
              <w:snapToGrid w:val="0"/>
              <w:spacing w:line="240" w:lineRule="auto"/>
              <w:rPr>
                <w:noProof w:val="0"/>
                <w:color w:val="auto"/>
              </w:rPr>
            </w:pPr>
            <w:r w:rsidRPr="00162B16">
              <w:rPr>
                <w:noProof w:val="0"/>
                <w:color w:val="auto"/>
              </w:rPr>
              <w:t>BMI (kg/m</w:t>
            </w:r>
            <w:r w:rsidRPr="00162B16">
              <w:rPr>
                <w:noProof w:val="0"/>
                <w:color w:val="auto"/>
                <w:vertAlign w:val="superscript"/>
              </w:rPr>
              <w:t>2</w:t>
            </w:r>
            <w:r w:rsidRPr="00162B16">
              <w:rPr>
                <w:noProof w:val="0"/>
                <w:color w:val="auto"/>
              </w:rPr>
              <w:t>)</w:t>
            </w:r>
            <w:r w:rsidRPr="00162B16">
              <w:rPr>
                <w:noProof w:val="0"/>
                <w:color w:val="auto"/>
                <w:vertAlign w:val="superscript"/>
              </w:rPr>
              <w:t xml:space="preserve"> +</w:t>
            </w:r>
          </w:p>
        </w:tc>
        <w:tc>
          <w:tcPr>
            <w:tcW w:w="0" w:type="auto"/>
            <w:vAlign w:val="center"/>
            <w:hideMark/>
          </w:tcPr>
          <w:p w14:paraId="443DCEAD" w14:textId="77777777" w:rsidR="00021DB6" w:rsidRPr="00162B16" w:rsidRDefault="00021DB6" w:rsidP="00D2168E">
            <w:pPr>
              <w:adjustRightInd w:val="0"/>
              <w:snapToGrid w:val="0"/>
              <w:spacing w:line="240" w:lineRule="auto"/>
              <w:rPr>
                <w:noProof w:val="0"/>
                <w:color w:val="auto"/>
              </w:rPr>
            </w:pPr>
            <w:r w:rsidRPr="00162B16">
              <w:rPr>
                <w:noProof w:val="0"/>
                <w:color w:val="auto"/>
              </w:rPr>
              <w:t>-0.111**</w:t>
            </w:r>
          </w:p>
        </w:tc>
        <w:tc>
          <w:tcPr>
            <w:tcW w:w="0" w:type="auto"/>
            <w:vAlign w:val="center"/>
            <w:hideMark/>
          </w:tcPr>
          <w:p w14:paraId="122E9246" w14:textId="77777777" w:rsidR="00021DB6" w:rsidRPr="00162B16" w:rsidRDefault="00021DB6" w:rsidP="00D2168E">
            <w:pPr>
              <w:adjustRightInd w:val="0"/>
              <w:snapToGrid w:val="0"/>
              <w:spacing w:line="240" w:lineRule="auto"/>
              <w:rPr>
                <w:noProof w:val="0"/>
                <w:color w:val="auto"/>
              </w:rPr>
            </w:pPr>
            <w:r w:rsidRPr="00162B16">
              <w:rPr>
                <w:noProof w:val="0"/>
                <w:color w:val="auto"/>
              </w:rPr>
              <w:t>-0.097**</w:t>
            </w:r>
          </w:p>
        </w:tc>
        <w:tc>
          <w:tcPr>
            <w:tcW w:w="0" w:type="auto"/>
            <w:vAlign w:val="center"/>
            <w:hideMark/>
          </w:tcPr>
          <w:p w14:paraId="1FAE4F97" w14:textId="77777777" w:rsidR="00021DB6" w:rsidRPr="00162B16" w:rsidRDefault="00021DB6" w:rsidP="00D2168E">
            <w:pPr>
              <w:adjustRightInd w:val="0"/>
              <w:snapToGrid w:val="0"/>
              <w:spacing w:line="240" w:lineRule="auto"/>
              <w:rPr>
                <w:noProof w:val="0"/>
                <w:color w:val="auto"/>
              </w:rPr>
            </w:pPr>
            <w:r w:rsidRPr="00162B16">
              <w:rPr>
                <w:noProof w:val="0"/>
                <w:color w:val="auto"/>
              </w:rPr>
              <w:t>-.161**</w:t>
            </w:r>
          </w:p>
        </w:tc>
      </w:tr>
      <w:tr w:rsidR="00162B16" w:rsidRPr="00162B16" w14:paraId="03E6C3BD" w14:textId="77777777" w:rsidTr="005B7F2F">
        <w:trPr>
          <w:jc w:val="center"/>
        </w:trPr>
        <w:tc>
          <w:tcPr>
            <w:tcW w:w="0" w:type="auto"/>
            <w:gridSpan w:val="2"/>
            <w:vAlign w:val="center"/>
            <w:hideMark/>
          </w:tcPr>
          <w:p w14:paraId="36203EDB" w14:textId="77777777" w:rsidR="00021DB6" w:rsidRPr="00162B16" w:rsidRDefault="00021DB6" w:rsidP="00D2168E">
            <w:pPr>
              <w:adjustRightInd w:val="0"/>
              <w:snapToGrid w:val="0"/>
              <w:spacing w:line="240" w:lineRule="auto"/>
              <w:rPr>
                <w:noProof w:val="0"/>
                <w:color w:val="auto"/>
              </w:rPr>
            </w:pPr>
            <w:r w:rsidRPr="00162B16">
              <w:rPr>
                <w:noProof w:val="0"/>
                <w:color w:val="auto"/>
              </w:rPr>
              <w:t>Age (years)</w:t>
            </w:r>
            <w:r w:rsidRPr="00162B16">
              <w:rPr>
                <w:noProof w:val="0"/>
                <w:color w:val="auto"/>
                <w:vertAlign w:val="superscript"/>
              </w:rPr>
              <w:t>+</w:t>
            </w:r>
          </w:p>
        </w:tc>
        <w:tc>
          <w:tcPr>
            <w:tcW w:w="0" w:type="auto"/>
            <w:vAlign w:val="center"/>
            <w:hideMark/>
          </w:tcPr>
          <w:p w14:paraId="0E181A2C" w14:textId="77777777" w:rsidR="00021DB6" w:rsidRPr="00162B16" w:rsidRDefault="00021DB6" w:rsidP="00D2168E">
            <w:pPr>
              <w:adjustRightInd w:val="0"/>
              <w:snapToGrid w:val="0"/>
              <w:spacing w:line="240" w:lineRule="auto"/>
              <w:rPr>
                <w:noProof w:val="0"/>
                <w:color w:val="auto"/>
              </w:rPr>
            </w:pPr>
            <w:r w:rsidRPr="00162B16">
              <w:rPr>
                <w:noProof w:val="0"/>
                <w:color w:val="auto"/>
              </w:rPr>
              <w:t>-0.043</w:t>
            </w:r>
          </w:p>
        </w:tc>
        <w:tc>
          <w:tcPr>
            <w:tcW w:w="0" w:type="auto"/>
            <w:vAlign w:val="center"/>
            <w:hideMark/>
          </w:tcPr>
          <w:p w14:paraId="4DB0CFD1" w14:textId="77777777" w:rsidR="00021DB6" w:rsidRPr="00162B16" w:rsidRDefault="00021DB6" w:rsidP="00D2168E">
            <w:pPr>
              <w:adjustRightInd w:val="0"/>
              <w:snapToGrid w:val="0"/>
              <w:spacing w:line="240" w:lineRule="auto"/>
              <w:rPr>
                <w:noProof w:val="0"/>
                <w:color w:val="auto"/>
              </w:rPr>
            </w:pPr>
            <w:r w:rsidRPr="00162B16">
              <w:rPr>
                <w:noProof w:val="0"/>
                <w:color w:val="auto"/>
              </w:rPr>
              <w:t>-0.093**</w:t>
            </w:r>
          </w:p>
        </w:tc>
        <w:tc>
          <w:tcPr>
            <w:tcW w:w="0" w:type="auto"/>
            <w:vAlign w:val="center"/>
            <w:hideMark/>
          </w:tcPr>
          <w:p w14:paraId="132169DB" w14:textId="77777777" w:rsidR="00021DB6" w:rsidRPr="00162B16" w:rsidRDefault="00021DB6" w:rsidP="00D2168E">
            <w:pPr>
              <w:adjustRightInd w:val="0"/>
              <w:snapToGrid w:val="0"/>
              <w:spacing w:line="240" w:lineRule="auto"/>
              <w:rPr>
                <w:noProof w:val="0"/>
                <w:color w:val="auto"/>
              </w:rPr>
            </w:pPr>
            <w:r w:rsidRPr="00162B16">
              <w:rPr>
                <w:noProof w:val="0"/>
                <w:color w:val="auto"/>
              </w:rPr>
              <w:t>-0.043</w:t>
            </w:r>
          </w:p>
        </w:tc>
      </w:tr>
      <w:tr w:rsidR="00021DB6" w:rsidRPr="00162B16" w14:paraId="6521E7F8" w14:textId="77777777" w:rsidTr="005B7F2F">
        <w:trPr>
          <w:jc w:val="center"/>
        </w:trPr>
        <w:tc>
          <w:tcPr>
            <w:tcW w:w="0" w:type="auto"/>
            <w:gridSpan w:val="5"/>
            <w:tcBorders>
              <w:top w:val="single" w:sz="4" w:space="0" w:color="auto"/>
              <w:left w:val="nil"/>
              <w:bottom w:val="nil"/>
              <w:right w:val="nil"/>
            </w:tcBorders>
            <w:vAlign w:val="center"/>
          </w:tcPr>
          <w:p w14:paraId="46EFE095" w14:textId="77777777" w:rsidR="00021DB6" w:rsidRPr="00162B16" w:rsidRDefault="00021DB6" w:rsidP="00D2168E">
            <w:pPr>
              <w:adjustRightInd w:val="0"/>
              <w:snapToGrid w:val="0"/>
              <w:spacing w:line="240" w:lineRule="auto"/>
              <w:rPr>
                <w:noProof w:val="0"/>
                <w:color w:val="auto"/>
                <w:vertAlign w:val="superscript"/>
              </w:rPr>
            </w:pPr>
            <w:r w:rsidRPr="00162B16">
              <w:rPr>
                <w:noProof w:val="0"/>
                <w:color w:val="auto"/>
                <w:vertAlign w:val="superscript"/>
              </w:rPr>
              <w:t>^ Mann-Whitney U test used Z score</w:t>
            </w:r>
          </w:p>
          <w:p w14:paraId="7B87936F" w14:textId="77777777" w:rsidR="00021DB6" w:rsidRPr="00162B16" w:rsidRDefault="00021DB6" w:rsidP="00D2168E">
            <w:pPr>
              <w:adjustRightInd w:val="0"/>
              <w:snapToGrid w:val="0"/>
              <w:spacing w:line="240" w:lineRule="auto"/>
              <w:rPr>
                <w:noProof w:val="0"/>
                <w:color w:val="auto"/>
                <w:vertAlign w:val="superscript"/>
              </w:rPr>
            </w:pPr>
            <w:r w:rsidRPr="00162B16">
              <w:rPr>
                <w:noProof w:val="0"/>
                <w:color w:val="auto"/>
                <w:vertAlign w:val="superscript"/>
              </w:rPr>
              <w:t>~ Kruskal-Wallis H test used P value</w:t>
            </w:r>
          </w:p>
          <w:p w14:paraId="1B300B54" w14:textId="77777777" w:rsidR="00021DB6" w:rsidRPr="00162B16" w:rsidRDefault="00021DB6" w:rsidP="00D2168E">
            <w:pPr>
              <w:adjustRightInd w:val="0"/>
              <w:snapToGrid w:val="0"/>
              <w:spacing w:line="240" w:lineRule="auto"/>
              <w:rPr>
                <w:noProof w:val="0"/>
                <w:color w:val="auto"/>
              </w:rPr>
            </w:pPr>
            <w:r w:rsidRPr="00162B16">
              <w:rPr>
                <w:noProof w:val="0"/>
                <w:color w:val="auto"/>
                <w:vertAlign w:val="superscript"/>
              </w:rPr>
              <w:t>+ Spearman Correlation used correlation co-efficient r</w:t>
            </w:r>
          </w:p>
          <w:p w14:paraId="1D2F4EB0" w14:textId="77777777" w:rsidR="00021DB6" w:rsidRPr="00162B16" w:rsidRDefault="00021DB6" w:rsidP="00D2168E">
            <w:pPr>
              <w:adjustRightInd w:val="0"/>
              <w:snapToGrid w:val="0"/>
              <w:spacing w:line="240" w:lineRule="auto"/>
              <w:rPr>
                <w:noProof w:val="0"/>
                <w:color w:val="auto"/>
              </w:rPr>
            </w:pPr>
            <w:bookmarkStart w:id="2" w:name="_Hlk78317647"/>
            <w:r w:rsidRPr="00162B16">
              <w:rPr>
                <w:noProof w:val="0"/>
                <w:color w:val="auto"/>
              </w:rPr>
              <w:t xml:space="preserve">* </w:t>
            </w:r>
            <w:proofErr w:type="gramStart"/>
            <w:r w:rsidRPr="00162B16">
              <w:rPr>
                <w:noProof w:val="0"/>
                <w:color w:val="auto"/>
              </w:rPr>
              <w:t>indicates</w:t>
            </w:r>
            <w:proofErr w:type="gramEnd"/>
            <w:r w:rsidRPr="00162B16">
              <w:rPr>
                <w:noProof w:val="0"/>
                <w:color w:val="auto"/>
              </w:rPr>
              <w:t xml:space="preserve"> significance at 0.05 level</w:t>
            </w:r>
          </w:p>
          <w:p w14:paraId="5141D1FE" w14:textId="747A535A" w:rsidR="00021DB6" w:rsidRPr="00162B16" w:rsidRDefault="00021DB6" w:rsidP="00D2168E">
            <w:pPr>
              <w:adjustRightInd w:val="0"/>
              <w:snapToGrid w:val="0"/>
              <w:spacing w:line="240" w:lineRule="auto"/>
              <w:rPr>
                <w:noProof w:val="0"/>
                <w:color w:val="auto"/>
              </w:rPr>
            </w:pPr>
            <w:r w:rsidRPr="00162B16">
              <w:rPr>
                <w:noProof w:val="0"/>
                <w:color w:val="auto"/>
              </w:rPr>
              <w:t>** indicates significance at 0.01 level</w:t>
            </w:r>
            <w:bookmarkEnd w:id="2"/>
          </w:p>
        </w:tc>
      </w:tr>
    </w:tbl>
    <w:p w14:paraId="6EF84E79" w14:textId="755C3DCB" w:rsidR="00455395" w:rsidRPr="00162B16" w:rsidRDefault="00455395" w:rsidP="00D2168E">
      <w:pPr>
        <w:pStyle w:val="MDPI31text"/>
        <w:rPr>
          <w:color w:val="auto"/>
        </w:rPr>
      </w:pPr>
    </w:p>
    <w:p w14:paraId="46E7772F" w14:textId="45C8EB63" w:rsidR="00455395" w:rsidRPr="00162B16" w:rsidRDefault="00455395" w:rsidP="005B7F2F">
      <w:pPr>
        <w:pStyle w:val="MDPI31text"/>
        <w:rPr>
          <w:color w:val="auto"/>
        </w:rPr>
      </w:pPr>
      <w:r w:rsidRPr="00162B16">
        <w:rPr>
          <w:color w:val="auto"/>
        </w:rPr>
        <w:lastRenderedPageBreak/>
        <w:t xml:space="preserve">Statistical modelling was carried out for the dependent variable of PA as </w:t>
      </w:r>
      <w:r w:rsidR="003215C7" w:rsidRPr="00162B16">
        <w:rPr>
          <w:color w:val="auto"/>
        </w:rPr>
        <w:t xml:space="preserve">a </w:t>
      </w:r>
      <w:r w:rsidRPr="00162B16">
        <w:rPr>
          <w:color w:val="auto"/>
        </w:rPr>
        <w:t>continuous variable</w:t>
      </w:r>
      <w:r w:rsidR="00497859" w:rsidRPr="00162B16">
        <w:rPr>
          <w:color w:val="auto"/>
        </w:rPr>
        <w:t xml:space="preserve">. Total PA data was </w:t>
      </w:r>
      <w:r w:rsidR="00400CB5" w:rsidRPr="00162B16">
        <w:rPr>
          <w:color w:val="auto"/>
        </w:rPr>
        <w:t>skewed</w:t>
      </w:r>
      <w:r w:rsidR="003215C7" w:rsidRPr="00162B16">
        <w:rPr>
          <w:color w:val="auto"/>
        </w:rPr>
        <w:t xml:space="preserve"> so </w:t>
      </w:r>
      <w:r w:rsidR="00497859" w:rsidRPr="00162B16">
        <w:rPr>
          <w:color w:val="auto"/>
        </w:rPr>
        <w:t xml:space="preserve">data transformation was carried out to achieve </w:t>
      </w:r>
      <w:r w:rsidR="00400CB5" w:rsidRPr="00162B16">
        <w:rPr>
          <w:color w:val="auto"/>
        </w:rPr>
        <w:t>data normalization. Initial model testing was carried out between total PA (dependent variable) and survey year as a second level model</w:t>
      </w:r>
      <w:r w:rsidR="00F900CE" w:rsidRPr="00162B16">
        <w:rPr>
          <w:color w:val="auto"/>
        </w:rPr>
        <w:t xml:space="preserve"> </w:t>
      </w:r>
      <w:r w:rsidR="00F900CE" w:rsidRPr="00162B16">
        <w:rPr>
          <w:color w:val="auto"/>
        </w:rPr>
        <w:fldChar w:fldCharType="begin" w:fldLock="1"/>
      </w:r>
      <w:r w:rsidR="003610B8" w:rsidRPr="00162B16">
        <w:rPr>
          <w:color w:val="auto"/>
        </w:rPr>
        <w:instrText>ADDIN CSL_CITATION {"citationItems":[{"id":"ITEM-1","itemData":{"author":[{"dropping-particle":"","family":"Heck","given":"R. H.","non-dropping-particle":"","parse-names":false,"suffix":""},{"dropping-particle":"","family":"Thomas","given":"S.L.","non-dropping-particle":"","parse-names":false,"suffix":""},{"dropping-particle":"","family":"TabataL.N.","given":"","non-dropping-particle":"","parse-names":false,"suffix":""}],"edition":"2","editor":[{"dropping-particle":"","family":"Marcoulides","given":"G.A.","non-dropping-particle":"","parse-names":false,"suffix":""}],"id":"ITEM-1","issued":{"date-parts":[["2014"]]},"number-of-pages":"462","publisher":"Routledge","publisher-place":"London","title":"Multilevel and Longitudinal Modeling with IBM SPSS","type":"book"},"uris":["http://www.mendeley.com/documents/?uuid=8a63c2a3-264c-4ee7-8858-c81593b283ed"]}],"mendeley":{"formattedCitation":"[29]","plainTextFormattedCitation":"[29]","previouslyFormattedCitation":"[28]"},"properties":{"noteIndex":0},"schema":"https://github.com/citation-style-language/schema/raw/master/csl-citation.json"}</w:instrText>
      </w:r>
      <w:r w:rsidR="00F900CE" w:rsidRPr="00162B16">
        <w:rPr>
          <w:color w:val="auto"/>
        </w:rPr>
        <w:fldChar w:fldCharType="separate"/>
      </w:r>
      <w:r w:rsidR="003610B8" w:rsidRPr="00162B16">
        <w:rPr>
          <w:noProof/>
          <w:color w:val="auto"/>
        </w:rPr>
        <w:t>[29]</w:t>
      </w:r>
      <w:r w:rsidR="00F900CE" w:rsidRPr="00162B16">
        <w:rPr>
          <w:color w:val="auto"/>
        </w:rPr>
        <w:fldChar w:fldCharType="end"/>
      </w:r>
      <w:r w:rsidR="00400CB5" w:rsidRPr="00162B16">
        <w:rPr>
          <w:color w:val="auto"/>
        </w:rPr>
        <w:t>. The intercept within the model was found not to be statistically significant (p = 0.364)</w:t>
      </w:r>
      <w:r w:rsidR="003215C7" w:rsidRPr="00162B16">
        <w:rPr>
          <w:color w:val="auto"/>
        </w:rPr>
        <w:t>.</w:t>
      </w:r>
      <w:r w:rsidR="00400CB5" w:rsidRPr="00162B16">
        <w:rPr>
          <w:color w:val="auto"/>
        </w:rPr>
        <w:t xml:space="preserve"> </w:t>
      </w:r>
      <w:r w:rsidR="00B01BB1" w:rsidRPr="00162B16">
        <w:rPr>
          <w:color w:val="auto"/>
        </w:rPr>
        <w:t xml:space="preserve">Interclass correlation co-efficient for the </w:t>
      </w:r>
      <w:r w:rsidR="00646CB8" w:rsidRPr="00162B16">
        <w:rPr>
          <w:color w:val="auto"/>
        </w:rPr>
        <w:t xml:space="preserve">level 2 </w:t>
      </w:r>
      <w:r w:rsidR="00B01BB1" w:rsidRPr="00162B16">
        <w:rPr>
          <w:color w:val="auto"/>
        </w:rPr>
        <w:t>model was 0.</w:t>
      </w:r>
      <w:r w:rsidR="00646CB8" w:rsidRPr="00162B16">
        <w:rPr>
          <w:color w:val="auto"/>
        </w:rPr>
        <w:t>006.</w:t>
      </w:r>
      <w:r w:rsidR="00AB1014" w:rsidRPr="00162B16">
        <w:rPr>
          <w:color w:val="auto"/>
        </w:rPr>
        <w:t xml:space="preserve"> Testing with level 1 (individual data) was included in the model. The model intercept of level 1 data was statistically significant (p </w:t>
      </w:r>
      <w:r w:rsidR="003215C7" w:rsidRPr="00162B16">
        <w:rPr>
          <w:color w:val="auto"/>
        </w:rPr>
        <w:t>&lt;</w:t>
      </w:r>
      <w:r w:rsidR="00AB1014" w:rsidRPr="00162B16">
        <w:rPr>
          <w:color w:val="auto"/>
        </w:rPr>
        <w:t xml:space="preserve"> 0.001). Data is presented in table 6</w:t>
      </w:r>
      <w:r w:rsidR="007F6CE3" w:rsidRPr="00162B16">
        <w:rPr>
          <w:color w:val="auto"/>
        </w:rPr>
        <w:t>.</w:t>
      </w:r>
    </w:p>
    <w:p w14:paraId="3994138B" w14:textId="77777777" w:rsidR="00C27632" w:rsidRPr="00162B16" w:rsidRDefault="00C27632" w:rsidP="005B7F2F">
      <w:pPr>
        <w:pStyle w:val="MDPI31text"/>
        <w:rPr>
          <w:color w:val="auto"/>
        </w:rPr>
      </w:pPr>
    </w:p>
    <w:tbl>
      <w:tblPr>
        <w:tblStyle w:val="TableGrid"/>
        <w:tblW w:w="0" w:type="auto"/>
        <w:tblInd w:w="26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8"/>
        <w:gridCol w:w="1507"/>
        <w:gridCol w:w="962"/>
        <w:gridCol w:w="666"/>
        <w:gridCol w:w="1243"/>
        <w:gridCol w:w="922"/>
      </w:tblGrid>
      <w:tr w:rsidR="00162B16" w:rsidRPr="00162B16" w14:paraId="5FE8AB15" w14:textId="77777777" w:rsidTr="0002463C">
        <w:tc>
          <w:tcPr>
            <w:tcW w:w="0" w:type="auto"/>
            <w:gridSpan w:val="6"/>
          </w:tcPr>
          <w:p w14:paraId="78C95C59" w14:textId="7B35EFDA" w:rsidR="007A3282" w:rsidRPr="00162B16" w:rsidRDefault="007A3282" w:rsidP="00C27632">
            <w:pPr>
              <w:pStyle w:val="MDPI31text"/>
              <w:ind w:left="0" w:firstLine="0"/>
              <w:rPr>
                <w:color w:val="auto"/>
              </w:rPr>
            </w:pPr>
            <w:r w:rsidRPr="00162B16">
              <w:rPr>
                <w:color w:val="auto"/>
              </w:rPr>
              <w:t>T</w:t>
            </w:r>
            <w:r w:rsidRPr="00162B16">
              <w:rPr>
                <w:color w:val="auto"/>
                <w:bdr w:val="single" w:sz="4" w:space="0" w:color="auto"/>
              </w:rPr>
              <w:t>able 6: Multilevel analysis include level 1 (individual) and level 2 (survey year)</w:t>
            </w:r>
          </w:p>
        </w:tc>
      </w:tr>
      <w:tr w:rsidR="00162B16" w:rsidRPr="00162B16" w14:paraId="75D2FC17" w14:textId="77777777" w:rsidTr="0002463C">
        <w:tc>
          <w:tcPr>
            <w:tcW w:w="0" w:type="auto"/>
            <w:tcBorders>
              <w:bottom w:val="single" w:sz="4" w:space="0" w:color="auto"/>
            </w:tcBorders>
          </w:tcPr>
          <w:p w14:paraId="55F0EBC2" w14:textId="77777777" w:rsidR="00C27632" w:rsidRPr="00162B16" w:rsidRDefault="00C27632" w:rsidP="00C27632">
            <w:pPr>
              <w:pStyle w:val="MDPI31text"/>
              <w:ind w:left="0" w:firstLine="0"/>
              <w:rPr>
                <w:color w:val="auto"/>
              </w:rPr>
            </w:pPr>
          </w:p>
        </w:tc>
        <w:tc>
          <w:tcPr>
            <w:tcW w:w="0" w:type="auto"/>
            <w:tcBorders>
              <w:bottom w:val="single" w:sz="4" w:space="0" w:color="auto"/>
            </w:tcBorders>
          </w:tcPr>
          <w:p w14:paraId="3615CE0D" w14:textId="4F3240E8" w:rsidR="00C27632" w:rsidRPr="00162B16" w:rsidRDefault="00C27632" w:rsidP="00C27632">
            <w:pPr>
              <w:pStyle w:val="MDPI31text"/>
              <w:ind w:left="0" w:firstLine="0"/>
              <w:rPr>
                <w:color w:val="auto"/>
              </w:rPr>
            </w:pPr>
            <w:r w:rsidRPr="00162B16">
              <w:rPr>
                <w:color w:val="auto"/>
              </w:rPr>
              <w:t>Level 1 Variable</w:t>
            </w:r>
          </w:p>
        </w:tc>
        <w:tc>
          <w:tcPr>
            <w:tcW w:w="0" w:type="auto"/>
            <w:tcBorders>
              <w:bottom w:val="single" w:sz="4" w:space="0" w:color="auto"/>
            </w:tcBorders>
          </w:tcPr>
          <w:p w14:paraId="7D8E9A17" w14:textId="43504EEC" w:rsidR="00C27632" w:rsidRPr="00162B16" w:rsidRDefault="00C27632" w:rsidP="00C27632">
            <w:pPr>
              <w:pStyle w:val="MDPI31text"/>
              <w:ind w:left="0" w:firstLine="0"/>
              <w:rPr>
                <w:color w:val="auto"/>
              </w:rPr>
            </w:pPr>
            <w:r w:rsidRPr="00162B16">
              <w:rPr>
                <w:color w:val="auto"/>
              </w:rPr>
              <w:t>Std Error</w:t>
            </w:r>
          </w:p>
        </w:tc>
        <w:tc>
          <w:tcPr>
            <w:tcW w:w="0" w:type="auto"/>
            <w:tcBorders>
              <w:bottom w:val="single" w:sz="4" w:space="0" w:color="auto"/>
            </w:tcBorders>
          </w:tcPr>
          <w:p w14:paraId="62BA6E99" w14:textId="7695FC60" w:rsidR="00C27632" w:rsidRPr="00162B16" w:rsidRDefault="00C27632" w:rsidP="00C27632">
            <w:pPr>
              <w:pStyle w:val="MDPI31text"/>
              <w:ind w:left="0" w:firstLine="0"/>
              <w:rPr>
                <w:color w:val="auto"/>
              </w:rPr>
            </w:pPr>
            <w:r w:rsidRPr="00162B16">
              <w:rPr>
                <w:color w:val="auto"/>
              </w:rPr>
              <w:t>t</w:t>
            </w:r>
          </w:p>
        </w:tc>
        <w:tc>
          <w:tcPr>
            <w:tcW w:w="0" w:type="auto"/>
            <w:tcBorders>
              <w:bottom w:val="single" w:sz="4" w:space="0" w:color="auto"/>
            </w:tcBorders>
          </w:tcPr>
          <w:p w14:paraId="2531C25E" w14:textId="2E225801" w:rsidR="00C27632" w:rsidRPr="00162B16" w:rsidRDefault="00C27632" w:rsidP="00C27632">
            <w:pPr>
              <w:pStyle w:val="MDPI31text"/>
              <w:ind w:left="0" w:firstLine="0"/>
              <w:rPr>
                <w:color w:val="auto"/>
              </w:rPr>
            </w:pPr>
            <w:r w:rsidRPr="00162B16">
              <w:rPr>
                <w:color w:val="auto"/>
              </w:rPr>
              <w:t>95% CI</w:t>
            </w:r>
          </w:p>
        </w:tc>
        <w:tc>
          <w:tcPr>
            <w:tcW w:w="0" w:type="auto"/>
            <w:tcBorders>
              <w:bottom w:val="single" w:sz="4" w:space="0" w:color="auto"/>
            </w:tcBorders>
          </w:tcPr>
          <w:p w14:paraId="00FA6160" w14:textId="74BD7AAE" w:rsidR="00C27632" w:rsidRPr="00162B16" w:rsidRDefault="00C27632" w:rsidP="00C27632">
            <w:pPr>
              <w:pStyle w:val="MDPI31text"/>
              <w:ind w:left="0" w:firstLine="0"/>
              <w:rPr>
                <w:color w:val="auto"/>
              </w:rPr>
            </w:pPr>
            <w:r w:rsidRPr="00162B16">
              <w:rPr>
                <w:color w:val="auto"/>
              </w:rPr>
              <w:t>P value</w:t>
            </w:r>
          </w:p>
        </w:tc>
      </w:tr>
      <w:tr w:rsidR="00162B16" w:rsidRPr="00162B16" w14:paraId="55C4CE59" w14:textId="77777777" w:rsidTr="0002463C">
        <w:tc>
          <w:tcPr>
            <w:tcW w:w="0" w:type="auto"/>
            <w:tcBorders>
              <w:top w:val="single" w:sz="4" w:space="0" w:color="auto"/>
            </w:tcBorders>
          </w:tcPr>
          <w:p w14:paraId="5E201E50" w14:textId="77777777" w:rsidR="00C27632" w:rsidRPr="00162B16" w:rsidRDefault="00C27632" w:rsidP="00C27632">
            <w:pPr>
              <w:pStyle w:val="MDPI31text"/>
              <w:ind w:left="0" w:firstLine="0"/>
              <w:rPr>
                <w:color w:val="auto"/>
              </w:rPr>
            </w:pPr>
          </w:p>
        </w:tc>
        <w:tc>
          <w:tcPr>
            <w:tcW w:w="0" w:type="auto"/>
            <w:tcBorders>
              <w:top w:val="single" w:sz="4" w:space="0" w:color="auto"/>
            </w:tcBorders>
          </w:tcPr>
          <w:p w14:paraId="3A1DF9BA" w14:textId="16914566" w:rsidR="00C27632" w:rsidRPr="00162B16" w:rsidRDefault="00C27632" w:rsidP="00C27632">
            <w:pPr>
              <w:pStyle w:val="MDPI31text"/>
              <w:ind w:left="0" w:firstLine="0"/>
              <w:rPr>
                <w:color w:val="auto"/>
              </w:rPr>
            </w:pPr>
            <w:r w:rsidRPr="00162B16">
              <w:rPr>
                <w:color w:val="auto"/>
              </w:rPr>
              <w:t>Intercept</w:t>
            </w:r>
          </w:p>
        </w:tc>
        <w:tc>
          <w:tcPr>
            <w:tcW w:w="0" w:type="auto"/>
            <w:tcBorders>
              <w:top w:val="single" w:sz="4" w:space="0" w:color="auto"/>
            </w:tcBorders>
          </w:tcPr>
          <w:p w14:paraId="2B021E14" w14:textId="10EC03D5" w:rsidR="00C27632" w:rsidRPr="00162B16" w:rsidRDefault="00C27632" w:rsidP="00C27632">
            <w:pPr>
              <w:pStyle w:val="MDPI31text"/>
              <w:ind w:left="0" w:firstLine="0"/>
              <w:rPr>
                <w:color w:val="auto"/>
              </w:rPr>
            </w:pPr>
            <w:r w:rsidRPr="00162B16">
              <w:rPr>
                <w:color w:val="auto"/>
              </w:rPr>
              <w:t>.</w:t>
            </w:r>
            <w:r w:rsidR="0002463C" w:rsidRPr="00162B16">
              <w:rPr>
                <w:color w:val="auto"/>
              </w:rPr>
              <w:t>45</w:t>
            </w:r>
          </w:p>
        </w:tc>
        <w:tc>
          <w:tcPr>
            <w:tcW w:w="0" w:type="auto"/>
            <w:tcBorders>
              <w:top w:val="single" w:sz="4" w:space="0" w:color="auto"/>
            </w:tcBorders>
          </w:tcPr>
          <w:p w14:paraId="0B48A003" w14:textId="5B8F9AEA" w:rsidR="00C27632" w:rsidRPr="00162B16" w:rsidRDefault="00C27632" w:rsidP="00C27632">
            <w:pPr>
              <w:pStyle w:val="MDPI31text"/>
              <w:ind w:left="0" w:firstLine="0"/>
              <w:rPr>
                <w:color w:val="auto"/>
              </w:rPr>
            </w:pPr>
            <w:r w:rsidRPr="00162B16">
              <w:rPr>
                <w:color w:val="auto"/>
              </w:rPr>
              <w:t>14.81</w:t>
            </w:r>
          </w:p>
        </w:tc>
        <w:tc>
          <w:tcPr>
            <w:tcW w:w="0" w:type="auto"/>
            <w:tcBorders>
              <w:top w:val="single" w:sz="4" w:space="0" w:color="auto"/>
            </w:tcBorders>
          </w:tcPr>
          <w:p w14:paraId="7C2F5626" w14:textId="19859575" w:rsidR="00C27632" w:rsidRPr="00162B16" w:rsidRDefault="00C27632" w:rsidP="00C27632">
            <w:pPr>
              <w:pStyle w:val="MDPI31text"/>
              <w:ind w:left="0" w:firstLine="0"/>
              <w:rPr>
                <w:color w:val="auto"/>
              </w:rPr>
            </w:pPr>
            <w:r w:rsidRPr="00162B16">
              <w:rPr>
                <w:color w:val="auto"/>
              </w:rPr>
              <w:t>2.</w:t>
            </w:r>
            <w:r w:rsidR="0002463C" w:rsidRPr="00162B16">
              <w:rPr>
                <w:color w:val="auto"/>
              </w:rPr>
              <w:t>21</w:t>
            </w:r>
            <w:r w:rsidRPr="00162B16">
              <w:rPr>
                <w:color w:val="auto"/>
              </w:rPr>
              <w:t xml:space="preserve"> </w:t>
            </w:r>
            <w:r w:rsidR="0002463C" w:rsidRPr="00162B16">
              <w:rPr>
                <w:color w:val="auto"/>
              </w:rPr>
              <w:t>–</w:t>
            </w:r>
            <w:r w:rsidRPr="00162B16">
              <w:rPr>
                <w:color w:val="auto"/>
              </w:rPr>
              <w:t xml:space="preserve"> </w:t>
            </w:r>
            <w:r w:rsidR="0002463C" w:rsidRPr="00162B16">
              <w:rPr>
                <w:color w:val="auto"/>
              </w:rPr>
              <w:t>4.03</w:t>
            </w:r>
          </w:p>
        </w:tc>
        <w:tc>
          <w:tcPr>
            <w:tcW w:w="0" w:type="auto"/>
            <w:tcBorders>
              <w:top w:val="single" w:sz="4" w:space="0" w:color="auto"/>
            </w:tcBorders>
          </w:tcPr>
          <w:p w14:paraId="3F08DF73" w14:textId="27C8338E" w:rsidR="00C27632" w:rsidRPr="00162B16" w:rsidRDefault="0031296C" w:rsidP="00C27632">
            <w:pPr>
              <w:pStyle w:val="MDPI31text"/>
              <w:ind w:left="0" w:firstLine="0"/>
              <w:rPr>
                <w:color w:val="auto"/>
              </w:rPr>
            </w:pPr>
            <w:r w:rsidRPr="00162B16">
              <w:rPr>
                <w:color w:val="auto"/>
              </w:rPr>
              <w:t>&lt;</w:t>
            </w:r>
            <w:r w:rsidR="00C27632" w:rsidRPr="00162B16">
              <w:rPr>
                <w:color w:val="auto"/>
              </w:rPr>
              <w:t>0.001</w:t>
            </w:r>
          </w:p>
        </w:tc>
      </w:tr>
      <w:tr w:rsidR="00162B16" w:rsidRPr="00162B16" w14:paraId="2019CFF7" w14:textId="77777777" w:rsidTr="0002463C">
        <w:tc>
          <w:tcPr>
            <w:tcW w:w="0" w:type="auto"/>
          </w:tcPr>
          <w:p w14:paraId="25113C2A" w14:textId="77777777" w:rsidR="00C27632" w:rsidRPr="00162B16" w:rsidRDefault="00C27632" w:rsidP="00C27632">
            <w:pPr>
              <w:pStyle w:val="MDPI31text"/>
              <w:ind w:left="0" w:firstLine="0"/>
              <w:rPr>
                <w:color w:val="auto"/>
              </w:rPr>
            </w:pPr>
          </w:p>
        </w:tc>
        <w:tc>
          <w:tcPr>
            <w:tcW w:w="0" w:type="auto"/>
          </w:tcPr>
          <w:p w14:paraId="7A2D129B" w14:textId="1137CF1D" w:rsidR="00C27632" w:rsidRPr="00162B16" w:rsidRDefault="00C27632" w:rsidP="00C27632">
            <w:pPr>
              <w:pStyle w:val="MDPI31text"/>
              <w:ind w:left="0" w:firstLine="0"/>
              <w:rPr>
                <w:color w:val="auto"/>
              </w:rPr>
            </w:pPr>
          </w:p>
        </w:tc>
        <w:tc>
          <w:tcPr>
            <w:tcW w:w="0" w:type="auto"/>
          </w:tcPr>
          <w:p w14:paraId="2E2FC231" w14:textId="77777777" w:rsidR="00C27632" w:rsidRPr="00162B16" w:rsidRDefault="00C27632" w:rsidP="00C27632">
            <w:pPr>
              <w:pStyle w:val="MDPI31text"/>
              <w:ind w:left="0" w:firstLine="0"/>
              <w:rPr>
                <w:color w:val="auto"/>
              </w:rPr>
            </w:pPr>
          </w:p>
        </w:tc>
        <w:tc>
          <w:tcPr>
            <w:tcW w:w="0" w:type="auto"/>
          </w:tcPr>
          <w:p w14:paraId="79398B45" w14:textId="77777777" w:rsidR="00C27632" w:rsidRPr="00162B16" w:rsidRDefault="00C27632" w:rsidP="00C27632">
            <w:pPr>
              <w:pStyle w:val="MDPI31text"/>
              <w:ind w:left="0" w:firstLine="0"/>
              <w:rPr>
                <w:color w:val="auto"/>
              </w:rPr>
            </w:pPr>
          </w:p>
        </w:tc>
        <w:tc>
          <w:tcPr>
            <w:tcW w:w="0" w:type="auto"/>
          </w:tcPr>
          <w:p w14:paraId="2FA0BC1F" w14:textId="77777777" w:rsidR="00C27632" w:rsidRPr="00162B16" w:rsidRDefault="00C27632" w:rsidP="00C27632">
            <w:pPr>
              <w:pStyle w:val="MDPI31text"/>
              <w:ind w:left="0" w:firstLine="0"/>
              <w:rPr>
                <w:color w:val="auto"/>
              </w:rPr>
            </w:pPr>
          </w:p>
        </w:tc>
        <w:tc>
          <w:tcPr>
            <w:tcW w:w="0" w:type="auto"/>
          </w:tcPr>
          <w:p w14:paraId="445DB406" w14:textId="77777777" w:rsidR="00C27632" w:rsidRPr="00162B16" w:rsidRDefault="00C27632" w:rsidP="00C27632">
            <w:pPr>
              <w:pStyle w:val="MDPI31text"/>
              <w:ind w:left="0" w:firstLine="0"/>
              <w:rPr>
                <w:color w:val="auto"/>
              </w:rPr>
            </w:pPr>
          </w:p>
        </w:tc>
      </w:tr>
      <w:tr w:rsidR="00162B16" w:rsidRPr="00162B16" w14:paraId="73ADEDF1" w14:textId="77777777" w:rsidTr="0002463C">
        <w:tc>
          <w:tcPr>
            <w:tcW w:w="0" w:type="auto"/>
            <w:vMerge w:val="restart"/>
          </w:tcPr>
          <w:p w14:paraId="5FAD8562" w14:textId="162C25FF" w:rsidR="00C27632" w:rsidRPr="00162B16" w:rsidRDefault="00C27632" w:rsidP="00C27632">
            <w:pPr>
              <w:pStyle w:val="MDPI31text"/>
              <w:ind w:left="0" w:firstLine="0"/>
              <w:rPr>
                <w:color w:val="auto"/>
              </w:rPr>
            </w:pPr>
            <w:r w:rsidRPr="00162B16">
              <w:rPr>
                <w:color w:val="auto"/>
              </w:rPr>
              <w:t>Employment status</w:t>
            </w:r>
          </w:p>
        </w:tc>
        <w:tc>
          <w:tcPr>
            <w:tcW w:w="0" w:type="auto"/>
          </w:tcPr>
          <w:p w14:paraId="194C04A9" w14:textId="213DECAE" w:rsidR="00C27632" w:rsidRPr="00162B16" w:rsidRDefault="00C27632" w:rsidP="00C27632">
            <w:pPr>
              <w:pStyle w:val="MDPI31text"/>
              <w:ind w:left="0" w:firstLine="0"/>
              <w:rPr>
                <w:color w:val="auto"/>
              </w:rPr>
            </w:pPr>
            <w:r w:rsidRPr="00162B16">
              <w:rPr>
                <w:color w:val="auto"/>
              </w:rPr>
              <w:t>Employed</w:t>
            </w:r>
          </w:p>
        </w:tc>
        <w:tc>
          <w:tcPr>
            <w:tcW w:w="0" w:type="auto"/>
          </w:tcPr>
          <w:p w14:paraId="145B7747" w14:textId="7EBEE1EE" w:rsidR="00C27632" w:rsidRPr="00162B16" w:rsidRDefault="0088421C" w:rsidP="00C27632">
            <w:pPr>
              <w:pStyle w:val="MDPI31text"/>
              <w:ind w:left="0" w:firstLine="0"/>
              <w:rPr>
                <w:color w:val="auto"/>
              </w:rPr>
            </w:pPr>
            <w:r w:rsidRPr="00162B16">
              <w:rPr>
                <w:color w:val="auto"/>
              </w:rPr>
              <w:t>0.</w:t>
            </w:r>
            <w:r w:rsidR="0002463C" w:rsidRPr="00162B16">
              <w:rPr>
                <w:color w:val="auto"/>
              </w:rPr>
              <w:t>334</w:t>
            </w:r>
          </w:p>
        </w:tc>
        <w:tc>
          <w:tcPr>
            <w:tcW w:w="0" w:type="auto"/>
          </w:tcPr>
          <w:p w14:paraId="13FB94E5" w14:textId="1301C08B" w:rsidR="00C27632" w:rsidRPr="00162B16" w:rsidRDefault="00F4423F" w:rsidP="00C27632">
            <w:pPr>
              <w:pStyle w:val="MDPI31text"/>
              <w:ind w:left="0" w:firstLine="0"/>
              <w:rPr>
                <w:color w:val="auto"/>
              </w:rPr>
            </w:pPr>
            <w:r w:rsidRPr="00162B16">
              <w:rPr>
                <w:color w:val="auto"/>
              </w:rPr>
              <w:t>-2.</w:t>
            </w:r>
            <w:r w:rsidR="0002463C" w:rsidRPr="00162B16">
              <w:rPr>
                <w:color w:val="auto"/>
              </w:rPr>
              <w:t>67</w:t>
            </w:r>
          </w:p>
        </w:tc>
        <w:tc>
          <w:tcPr>
            <w:tcW w:w="0" w:type="auto"/>
          </w:tcPr>
          <w:p w14:paraId="358BCE36" w14:textId="42940442" w:rsidR="00C27632" w:rsidRPr="00162B16" w:rsidRDefault="00C27632" w:rsidP="00C27632">
            <w:pPr>
              <w:pStyle w:val="MDPI31text"/>
              <w:ind w:left="0" w:firstLine="0"/>
              <w:rPr>
                <w:color w:val="auto"/>
              </w:rPr>
            </w:pPr>
            <w:r w:rsidRPr="00162B16">
              <w:rPr>
                <w:color w:val="auto"/>
              </w:rPr>
              <w:t>-0.16 - -0.0</w:t>
            </w:r>
            <w:r w:rsidR="0002463C" w:rsidRPr="00162B16">
              <w:rPr>
                <w:color w:val="auto"/>
              </w:rPr>
              <w:t>2</w:t>
            </w:r>
          </w:p>
        </w:tc>
        <w:tc>
          <w:tcPr>
            <w:tcW w:w="0" w:type="auto"/>
          </w:tcPr>
          <w:p w14:paraId="4F72D039" w14:textId="457B2318" w:rsidR="00C27632" w:rsidRPr="00162B16" w:rsidRDefault="00F4423F" w:rsidP="00C27632">
            <w:pPr>
              <w:pStyle w:val="MDPI31text"/>
              <w:ind w:left="0" w:firstLine="0"/>
              <w:rPr>
                <w:color w:val="auto"/>
              </w:rPr>
            </w:pPr>
            <w:r w:rsidRPr="00162B16">
              <w:rPr>
                <w:color w:val="auto"/>
              </w:rPr>
              <w:t>0.00</w:t>
            </w:r>
            <w:r w:rsidR="0002463C" w:rsidRPr="00162B16">
              <w:rPr>
                <w:color w:val="auto"/>
              </w:rPr>
              <w:t>7*</w:t>
            </w:r>
          </w:p>
        </w:tc>
      </w:tr>
      <w:tr w:rsidR="00162B16" w:rsidRPr="00162B16" w14:paraId="1315B814" w14:textId="77777777" w:rsidTr="0002463C">
        <w:tc>
          <w:tcPr>
            <w:tcW w:w="0" w:type="auto"/>
            <w:vMerge/>
          </w:tcPr>
          <w:p w14:paraId="01C2FD21" w14:textId="77777777" w:rsidR="00C27632" w:rsidRPr="00162B16" w:rsidRDefault="00C27632" w:rsidP="00C27632">
            <w:pPr>
              <w:pStyle w:val="MDPI31text"/>
              <w:ind w:left="0" w:firstLine="0"/>
              <w:rPr>
                <w:color w:val="auto"/>
              </w:rPr>
            </w:pPr>
          </w:p>
        </w:tc>
        <w:tc>
          <w:tcPr>
            <w:tcW w:w="0" w:type="auto"/>
          </w:tcPr>
          <w:p w14:paraId="728E309C" w14:textId="1EE2E6F5" w:rsidR="00C27632" w:rsidRPr="00162B16" w:rsidRDefault="00C27632" w:rsidP="00C27632">
            <w:pPr>
              <w:pStyle w:val="MDPI31text"/>
              <w:ind w:left="0" w:firstLine="0"/>
              <w:rPr>
                <w:color w:val="auto"/>
              </w:rPr>
            </w:pPr>
            <w:r w:rsidRPr="00162B16">
              <w:rPr>
                <w:color w:val="auto"/>
              </w:rPr>
              <w:t>Retired</w:t>
            </w:r>
          </w:p>
        </w:tc>
        <w:tc>
          <w:tcPr>
            <w:tcW w:w="0" w:type="auto"/>
          </w:tcPr>
          <w:p w14:paraId="53EBBD64" w14:textId="77777777" w:rsidR="00C27632" w:rsidRPr="00162B16" w:rsidRDefault="00C27632" w:rsidP="00C27632">
            <w:pPr>
              <w:pStyle w:val="MDPI31text"/>
              <w:ind w:left="0" w:firstLine="0"/>
              <w:rPr>
                <w:color w:val="auto"/>
              </w:rPr>
            </w:pPr>
          </w:p>
        </w:tc>
        <w:tc>
          <w:tcPr>
            <w:tcW w:w="0" w:type="auto"/>
          </w:tcPr>
          <w:p w14:paraId="15CD94C0" w14:textId="77777777" w:rsidR="00C27632" w:rsidRPr="00162B16" w:rsidRDefault="00C27632" w:rsidP="00C27632">
            <w:pPr>
              <w:pStyle w:val="MDPI31text"/>
              <w:ind w:left="0" w:firstLine="0"/>
              <w:rPr>
                <w:color w:val="auto"/>
              </w:rPr>
            </w:pPr>
          </w:p>
        </w:tc>
        <w:tc>
          <w:tcPr>
            <w:tcW w:w="0" w:type="auto"/>
          </w:tcPr>
          <w:p w14:paraId="0AD0410D" w14:textId="77777777" w:rsidR="00C27632" w:rsidRPr="00162B16" w:rsidRDefault="00C27632" w:rsidP="00C27632">
            <w:pPr>
              <w:pStyle w:val="MDPI31text"/>
              <w:ind w:left="0" w:firstLine="0"/>
              <w:rPr>
                <w:color w:val="auto"/>
              </w:rPr>
            </w:pPr>
          </w:p>
        </w:tc>
        <w:tc>
          <w:tcPr>
            <w:tcW w:w="0" w:type="auto"/>
          </w:tcPr>
          <w:p w14:paraId="725C4525" w14:textId="77777777" w:rsidR="00C27632" w:rsidRPr="00162B16" w:rsidRDefault="00C27632" w:rsidP="00C27632">
            <w:pPr>
              <w:pStyle w:val="MDPI31text"/>
              <w:ind w:left="0" w:firstLine="0"/>
              <w:rPr>
                <w:color w:val="auto"/>
              </w:rPr>
            </w:pPr>
          </w:p>
        </w:tc>
      </w:tr>
      <w:tr w:rsidR="00162B16" w:rsidRPr="00162B16" w14:paraId="5B192AAB" w14:textId="77777777" w:rsidTr="0002463C">
        <w:tc>
          <w:tcPr>
            <w:tcW w:w="0" w:type="auto"/>
          </w:tcPr>
          <w:p w14:paraId="292F19AC" w14:textId="77777777" w:rsidR="00C27632" w:rsidRPr="00162B16" w:rsidRDefault="00C27632" w:rsidP="00C27632">
            <w:pPr>
              <w:pStyle w:val="MDPI31text"/>
              <w:ind w:left="0" w:firstLine="0"/>
              <w:rPr>
                <w:color w:val="auto"/>
              </w:rPr>
            </w:pPr>
          </w:p>
        </w:tc>
        <w:tc>
          <w:tcPr>
            <w:tcW w:w="0" w:type="auto"/>
          </w:tcPr>
          <w:p w14:paraId="5CDB3193" w14:textId="30759057" w:rsidR="00C27632" w:rsidRPr="00162B16" w:rsidRDefault="00C27632" w:rsidP="00C27632">
            <w:pPr>
              <w:pStyle w:val="MDPI31text"/>
              <w:ind w:left="0" w:firstLine="0"/>
              <w:rPr>
                <w:color w:val="auto"/>
              </w:rPr>
            </w:pPr>
          </w:p>
        </w:tc>
        <w:tc>
          <w:tcPr>
            <w:tcW w:w="0" w:type="auto"/>
          </w:tcPr>
          <w:p w14:paraId="6009ADF1" w14:textId="77777777" w:rsidR="00C27632" w:rsidRPr="00162B16" w:rsidRDefault="00C27632" w:rsidP="00C27632">
            <w:pPr>
              <w:pStyle w:val="MDPI31text"/>
              <w:ind w:left="0" w:firstLine="0"/>
              <w:rPr>
                <w:color w:val="auto"/>
              </w:rPr>
            </w:pPr>
          </w:p>
        </w:tc>
        <w:tc>
          <w:tcPr>
            <w:tcW w:w="0" w:type="auto"/>
          </w:tcPr>
          <w:p w14:paraId="6E62D2B6" w14:textId="77777777" w:rsidR="00C27632" w:rsidRPr="00162B16" w:rsidRDefault="00C27632" w:rsidP="00C27632">
            <w:pPr>
              <w:pStyle w:val="MDPI31text"/>
              <w:ind w:left="0" w:firstLine="0"/>
              <w:rPr>
                <w:color w:val="auto"/>
              </w:rPr>
            </w:pPr>
          </w:p>
        </w:tc>
        <w:tc>
          <w:tcPr>
            <w:tcW w:w="0" w:type="auto"/>
          </w:tcPr>
          <w:p w14:paraId="603A79FD" w14:textId="77777777" w:rsidR="00C27632" w:rsidRPr="00162B16" w:rsidRDefault="00C27632" w:rsidP="00C27632">
            <w:pPr>
              <w:pStyle w:val="MDPI31text"/>
              <w:ind w:left="0" w:firstLine="0"/>
              <w:rPr>
                <w:color w:val="auto"/>
              </w:rPr>
            </w:pPr>
          </w:p>
        </w:tc>
        <w:tc>
          <w:tcPr>
            <w:tcW w:w="0" w:type="auto"/>
          </w:tcPr>
          <w:p w14:paraId="3E66D213" w14:textId="77777777" w:rsidR="00C27632" w:rsidRPr="00162B16" w:rsidRDefault="00C27632" w:rsidP="00C27632">
            <w:pPr>
              <w:pStyle w:val="MDPI31text"/>
              <w:ind w:left="0" w:firstLine="0"/>
              <w:rPr>
                <w:color w:val="auto"/>
              </w:rPr>
            </w:pPr>
          </w:p>
        </w:tc>
      </w:tr>
      <w:tr w:rsidR="00162B16" w:rsidRPr="00162B16" w14:paraId="430D5A7C" w14:textId="77777777" w:rsidTr="0002463C">
        <w:tc>
          <w:tcPr>
            <w:tcW w:w="0" w:type="auto"/>
            <w:vMerge w:val="restart"/>
          </w:tcPr>
          <w:p w14:paraId="75C1494A" w14:textId="1A92998A" w:rsidR="00C27632" w:rsidRPr="00162B16" w:rsidRDefault="00C27632" w:rsidP="00C27632">
            <w:pPr>
              <w:pStyle w:val="MDPI31text"/>
              <w:ind w:left="0" w:firstLine="0"/>
              <w:rPr>
                <w:color w:val="auto"/>
              </w:rPr>
            </w:pPr>
            <w:r w:rsidRPr="00162B16">
              <w:rPr>
                <w:color w:val="auto"/>
              </w:rPr>
              <w:t>Sex</w:t>
            </w:r>
          </w:p>
        </w:tc>
        <w:tc>
          <w:tcPr>
            <w:tcW w:w="0" w:type="auto"/>
          </w:tcPr>
          <w:p w14:paraId="6F86BBE2" w14:textId="0EF8B195" w:rsidR="00C27632" w:rsidRPr="00162B16" w:rsidRDefault="00C27632" w:rsidP="00C27632">
            <w:pPr>
              <w:pStyle w:val="MDPI31text"/>
              <w:ind w:left="0" w:firstLine="0"/>
              <w:rPr>
                <w:color w:val="auto"/>
              </w:rPr>
            </w:pPr>
            <w:r w:rsidRPr="00162B16">
              <w:rPr>
                <w:color w:val="auto"/>
              </w:rPr>
              <w:t>Male</w:t>
            </w:r>
          </w:p>
        </w:tc>
        <w:tc>
          <w:tcPr>
            <w:tcW w:w="0" w:type="auto"/>
          </w:tcPr>
          <w:p w14:paraId="1EE2BE2C" w14:textId="1CDD507E" w:rsidR="00C27632" w:rsidRPr="00162B16" w:rsidRDefault="0088421C" w:rsidP="00C27632">
            <w:pPr>
              <w:pStyle w:val="MDPI31text"/>
              <w:ind w:left="0" w:firstLine="0"/>
              <w:rPr>
                <w:color w:val="auto"/>
              </w:rPr>
            </w:pPr>
            <w:r w:rsidRPr="00162B16">
              <w:rPr>
                <w:color w:val="auto"/>
              </w:rPr>
              <w:t>0.</w:t>
            </w:r>
            <w:r w:rsidR="0002463C" w:rsidRPr="00162B16">
              <w:rPr>
                <w:color w:val="auto"/>
              </w:rPr>
              <w:t>03</w:t>
            </w:r>
          </w:p>
        </w:tc>
        <w:tc>
          <w:tcPr>
            <w:tcW w:w="0" w:type="auto"/>
          </w:tcPr>
          <w:p w14:paraId="7BA65534" w14:textId="426441D3" w:rsidR="00C27632" w:rsidRPr="00162B16" w:rsidRDefault="00F4423F" w:rsidP="00C27632">
            <w:pPr>
              <w:pStyle w:val="MDPI31text"/>
              <w:ind w:left="0" w:firstLine="0"/>
              <w:rPr>
                <w:color w:val="auto"/>
              </w:rPr>
            </w:pPr>
            <w:r w:rsidRPr="00162B16">
              <w:rPr>
                <w:color w:val="auto"/>
              </w:rPr>
              <w:t>2.</w:t>
            </w:r>
            <w:r w:rsidR="0002463C" w:rsidRPr="00162B16">
              <w:rPr>
                <w:color w:val="auto"/>
              </w:rPr>
              <w:t>35</w:t>
            </w:r>
          </w:p>
        </w:tc>
        <w:tc>
          <w:tcPr>
            <w:tcW w:w="0" w:type="auto"/>
          </w:tcPr>
          <w:p w14:paraId="371FA713" w14:textId="25C853B1" w:rsidR="00C27632" w:rsidRPr="00162B16" w:rsidRDefault="00C27632" w:rsidP="00C27632">
            <w:pPr>
              <w:pStyle w:val="MDPI31text"/>
              <w:ind w:left="0" w:firstLine="0"/>
              <w:rPr>
                <w:color w:val="auto"/>
              </w:rPr>
            </w:pPr>
            <w:r w:rsidRPr="00162B16">
              <w:rPr>
                <w:color w:val="auto"/>
              </w:rPr>
              <w:t>0.01 – 0.1</w:t>
            </w:r>
            <w:r w:rsidR="0002463C" w:rsidRPr="00162B16">
              <w:rPr>
                <w:color w:val="auto"/>
              </w:rPr>
              <w:t>1</w:t>
            </w:r>
          </w:p>
        </w:tc>
        <w:tc>
          <w:tcPr>
            <w:tcW w:w="0" w:type="auto"/>
          </w:tcPr>
          <w:p w14:paraId="54594F0E" w14:textId="5BA63207" w:rsidR="00C27632" w:rsidRPr="00162B16" w:rsidRDefault="00F4423F" w:rsidP="00C27632">
            <w:pPr>
              <w:pStyle w:val="MDPI31text"/>
              <w:ind w:left="0" w:firstLine="0"/>
              <w:rPr>
                <w:color w:val="auto"/>
              </w:rPr>
            </w:pPr>
            <w:r w:rsidRPr="00162B16">
              <w:rPr>
                <w:color w:val="auto"/>
              </w:rPr>
              <w:t>0.</w:t>
            </w:r>
            <w:r w:rsidR="0002463C" w:rsidRPr="00162B16">
              <w:rPr>
                <w:color w:val="auto"/>
              </w:rPr>
              <w:t>19</w:t>
            </w:r>
          </w:p>
        </w:tc>
      </w:tr>
      <w:tr w:rsidR="00162B16" w:rsidRPr="00162B16" w14:paraId="61E959F4" w14:textId="77777777" w:rsidTr="0002463C">
        <w:tc>
          <w:tcPr>
            <w:tcW w:w="0" w:type="auto"/>
            <w:vMerge/>
          </w:tcPr>
          <w:p w14:paraId="2132F429" w14:textId="77777777" w:rsidR="00C27632" w:rsidRPr="00162B16" w:rsidRDefault="00C27632" w:rsidP="00C27632">
            <w:pPr>
              <w:pStyle w:val="MDPI31text"/>
              <w:ind w:left="0" w:firstLine="0"/>
              <w:rPr>
                <w:color w:val="auto"/>
              </w:rPr>
            </w:pPr>
          </w:p>
        </w:tc>
        <w:tc>
          <w:tcPr>
            <w:tcW w:w="0" w:type="auto"/>
          </w:tcPr>
          <w:p w14:paraId="72551891" w14:textId="13258383" w:rsidR="00C27632" w:rsidRPr="00162B16" w:rsidRDefault="00C27632" w:rsidP="00C27632">
            <w:pPr>
              <w:pStyle w:val="MDPI31text"/>
              <w:ind w:left="0" w:firstLine="0"/>
              <w:rPr>
                <w:color w:val="auto"/>
              </w:rPr>
            </w:pPr>
            <w:r w:rsidRPr="00162B16">
              <w:rPr>
                <w:color w:val="auto"/>
              </w:rPr>
              <w:t>Female</w:t>
            </w:r>
          </w:p>
        </w:tc>
        <w:tc>
          <w:tcPr>
            <w:tcW w:w="0" w:type="auto"/>
          </w:tcPr>
          <w:p w14:paraId="459C6FF5" w14:textId="77777777" w:rsidR="00C27632" w:rsidRPr="00162B16" w:rsidRDefault="00C27632" w:rsidP="00C27632">
            <w:pPr>
              <w:pStyle w:val="MDPI31text"/>
              <w:ind w:left="0" w:firstLine="0"/>
              <w:rPr>
                <w:color w:val="auto"/>
              </w:rPr>
            </w:pPr>
          </w:p>
        </w:tc>
        <w:tc>
          <w:tcPr>
            <w:tcW w:w="0" w:type="auto"/>
          </w:tcPr>
          <w:p w14:paraId="1D7FD875" w14:textId="77777777" w:rsidR="00C27632" w:rsidRPr="00162B16" w:rsidRDefault="00C27632" w:rsidP="00C27632">
            <w:pPr>
              <w:pStyle w:val="MDPI31text"/>
              <w:ind w:left="0" w:firstLine="0"/>
              <w:rPr>
                <w:color w:val="auto"/>
              </w:rPr>
            </w:pPr>
          </w:p>
        </w:tc>
        <w:tc>
          <w:tcPr>
            <w:tcW w:w="0" w:type="auto"/>
          </w:tcPr>
          <w:p w14:paraId="4C9FBACC" w14:textId="77777777" w:rsidR="00C27632" w:rsidRPr="00162B16" w:rsidRDefault="00C27632" w:rsidP="00C27632">
            <w:pPr>
              <w:pStyle w:val="MDPI31text"/>
              <w:ind w:left="0" w:firstLine="0"/>
              <w:rPr>
                <w:color w:val="auto"/>
              </w:rPr>
            </w:pPr>
          </w:p>
        </w:tc>
        <w:tc>
          <w:tcPr>
            <w:tcW w:w="0" w:type="auto"/>
          </w:tcPr>
          <w:p w14:paraId="26CE0A17" w14:textId="77777777" w:rsidR="00C27632" w:rsidRPr="00162B16" w:rsidRDefault="00C27632" w:rsidP="00C27632">
            <w:pPr>
              <w:pStyle w:val="MDPI31text"/>
              <w:ind w:left="0" w:firstLine="0"/>
              <w:rPr>
                <w:color w:val="auto"/>
              </w:rPr>
            </w:pPr>
          </w:p>
        </w:tc>
      </w:tr>
      <w:tr w:rsidR="00162B16" w:rsidRPr="00162B16" w14:paraId="479AB809" w14:textId="77777777" w:rsidTr="0002463C">
        <w:tc>
          <w:tcPr>
            <w:tcW w:w="0" w:type="auto"/>
          </w:tcPr>
          <w:p w14:paraId="7A7C1F69" w14:textId="77777777" w:rsidR="00C27632" w:rsidRPr="00162B16" w:rsidRDefault="00C27632" w:rsidP="00C27632">
            <w:pPr>
              <w:pStyle w:val="MDPI31text"/>
              <w:ind w:left="0" w:firstLine="0"/>
              <w:rPr>
                <w:color w:val="auto"/>
              </w:rPr>
            </w:pPr>
          </w:p>
        </w:tc>
        <w:tc>
          <w:tcPr>
            <w:tcW w:w="0" w:type="auto"/>
          </w:tcPr>
          <w:p w14:paraId="0C81D8C6" w14:textId="3ACD8BE2" w:rsidR="00C27632" w:rsidRPr="00162B16" w:rsidRDefault="00C27632" w:rsidP="00C27632">
            <w:pPr>
              <w:pStyle w:val="MDPI31text"/>
              <w:ind w:left="0" w:firstLine="0"/>
              <w:rPr>
                <w:color w:val="auto"/>
              </w:rPr>
            </w:pPr>
          </w:p>
        </w:tc>
        <w:tc>
          <w:tcPr>
            <w:tcW w:w="0" w:type="auto"/>
          </w:tcPr>
          <w:p w14:paraId="6C65CE1D" w14:textId="77777777" w:rsidR="00C27632" w:rsidRPr="00162B16" w:rsidRDefault="00C27632" w:rsidP="00C27632">
            <w:pPr>
              <w:pStyle w:val="MDPI31text"/>
              <w:ind w:left="0" w:firstLine="0"/>
              <w:rPr>
                <w:color w:val="auto"/>
              </w:rPr>
            </w:pPr>
          </w:p>
        </w:tc>
        <w:tc>
          <w:tcPr>
            <w:tcW w:w="0" w:type="auto"/>
          </w:tcPr>
          <w:p w14:paraId="18A1127E" w14:textId="77777777" w:rsidR="00C27632" w:rsidRPr="00162B16" w:rsidRDefault="00C27632" w:rsidP="00C27632">
            <w:pPr>
              <w:pStyle w:val="MDPI31text"/>
              <w:ind w:left="0" w:firstLine="0"/>
              <w:rPr>
                <w:color w:val="auto"/>
              </w:rPr>
            </w:pPr>
          </w:p>
        </w:tc>
        <w:tc>
          <w:tcPr>
            <w:tcW w:w="0" w:type="auto"/>
          </w:tcPr>
          <w:p w14:paraId="764F2B3C" w14:textId="77777777" w:rsidR="00C27632" w:rsidRPr="00162B16" w:rsidRDefault="00C27632" w:rsidP="00C27632">
            <w:pPr>
              <w:pStyle w:val="MDPI31text"/>
              <w:ind w:left="0" w:firstLine="0"/>
              <w:rPr>
                <w:color w:val="auto"/>
              </w:rPr>
            </w:pPr>
          </w:p>
        </w:tc>
        <w:tc>
          <w:tcPr>
            <w:tcW w:w="0" w:type="auto"/>
          </w:tcPr>
          <w:p w14:paraId="563A973B" w14:textId="77777777" w:rsidR="00C27632" w:rsidRPr="00162B16" w:rsidRDefault="00C27632" w:rsidP="00C27632">
            <w:pPr>
              <w:pStyle w:val="MDPI31text"/>
              <w:ind w:left="0" w:firstLine="0"/>
              <w:rPr>
                <w:color w:val="auto"/>
              </w:rPr>
            </w:pPr>
          </w:p>
        </w:tc>
      </w:tr>
      <w:tr w:rsidR="00162B16" w:rsidRPr="00162B16" w14:paraId="7C9248A9" w14:textId="77777777" w:rsidTr="0002463C">
        <w:tc>
          <w:tcPr>
            <w:tcW w:w="0" w:type="auto"/>
          </w:tcPr>
          <w:p w14:paraId="265CBB6E" w14:textId="77777777" w:rsidR="00C27632" w:rsidRPr="00162B16" w:rsidRDefault="00C27632" w:rsidP="00C27632">
            <w:pPr>
              <w:pStyle w:val="MDPI31text"/>
              <w:ind w:left="0" w:firstLine="0"/>
              <w:rPr>
                <w:color w:val="auto"/>
              </w:rPr>
            </w:pPr>
          </w:p>
        </w:tc>
        <w:tc>
          <w:tcPr>
            <w:tcW w:w="0" w:type="auto"/>
          </w:tcPr>
          <w:p w14:paraId="159300C5" w14:textId="06CDF5D6" w:rsidR="00C27632" w:rsidRPr="00162B16" w:rsidRDefault="00C27632" w:rsidP="00C27632">
            <w:pPr>
              <w:pStyle w:val="MDPI31text"/>
              <w:ind w:left="0" w:firstLine="0"/>
              <w:rPr>
                <w:color w:val="auto"/>
              </w:rPr>
            </w:pPr>
            <w:r w:rsidRPr="00162B16">
              <w:rPr>
                <w:color w:val="auto"/>
              </w:rPr>
              <w:t>BMI</w:t>
            </w:r>
          </w:p>
        </w:tc>
        <w:tc>
          <w:tcPr>
            <w:tcW w:w="0" w:type="auto"/>
          </w:tcPr>
          <w:p w14:paraId="439154B1" w14:textId="566A71FE" w:rsidR="00C27632" w:rsidRPr="00162B16" w:rsidRDefault="0088421C" w:rsidP="00C27632">
            <w:pPr>
              <w:pStyle w:val="MDPI31text"/>
              <w:ind w:left="0" w:firstLine="0"/>
              <w:rPr>
                <w:color w:val="auto"/>
              </w:rPr>
            </w:pPr>
            <w:r w:rsidRPr="00162B16">
              <w:rPr>
                <w:color w:val="auto"/>
              </w:rPr>
              <w:t>0.0</w:t>
            </w:r>
            <w:r w:rsidR="0002463C" w:rsidRPr="00162B16">
              <w:rPr>
                <w:color w:val="auto"/>
              </w:rPr>
              <w:t>2</w:t>
            </w:r>
          </w:p>
        </w:tc>
        <w:tc>
          <w:tcPr>
            <w:tcW w:w="0" w:type="auto"/>
          </w:tcPr>
          <w:p w14:paraId="396ADCF3" w14:textId="738385FC" w:rsidR="00C27632" w:rsidRPr="00162B16" w:rsidRDefault="00F4423F" w:rsidP="00C27632">
            <w:pPr>
              <w:pStyle w:val="MDPI31text"/>
              <w:ind w:left="0" w:firstLine="0"/>
              <w:rPr>
                <w:color w:val="auto"/>
              </w:rPr>
            </w:pPr>
            <w:r w:rsidRPr="00162B16">
              <w:rPr>
                <w:color w:val="auto"/>
              </w:rPr>
              <w:t>-4.11</w:t>
            </w:r>
          </w:p>
        </w:tc>
        <w:tc>
          <w:tcPr>
            <w:tcW w:w="0" w:type="auto"/>
          </w:tcPr>
          <w:p w14:paraId="53AB172A" w14:textId="0334CC73" w:rsidR="00C27632" w:rsidRPr="00162B16" w:rsidRDefault="00C27632" w:rsidP="00C27632">
            <w:pPr>
              <w:pStyle w:val="MDPI31text"/>
              <w:ind w:left="0" w:firstLine="0"/>
              <w:rPr>
                <w:color w:val="auto"/>
              </w:rPr>
            </w:pPr>
            <w:r w:rsidRPr="00162B16">
              <w:rPr>
                <w:color w:val="auto"/>
              </w:rPr>
              <w:t>-0.01 - -0.004</w:t>
            </w:r>
          </w:p>
        </w:tc>
        <w:tc>
          <w:tcPr>
            <w:tcW w:w="0" w:type="auto"/>
          </w:tcPr>
          <w:p w14:paraId="65A48BA2" w14:textId="4EF42F2C" w:rsidR="00C27632" w:rsidRPr="00162B16" w:rsidRDefault="0031296C" w:rsidP="00C27632">
            <w:pPr>
              <w:pStyle w:val="MDPI31text"/>
              <w:ind w:left="0" w:firstLine="0"/>
              <w:rPr>
                <w:color w:val="auto"/>
              </w:rPr>
            </w:pPr>
            <w:r w:rsidRPr="00162B16">
              <w:rPr>
                <w:color w:val="auto"/>
              </w:rPr>
              <w:t>&lt;</w:t>
            </w:r>
            <w:r w:rsidR="004F1874" w:rsidRPr="00162B16">
              <w:rPr>
                <w:color w:val="auto"/>
              </w:rPr>
              <w:t>0.001</w:t>
            </w:r>
            <w:r w:rsidR="0002463C" w:rsidRPr="00162B16">
              <w:rPr>
                <w:color w:val="auto"/>
              </w:rPr>
              <w:t>**</w:t>
            </w:r>
          </w:p>
        </w:tc>
      </w:tr>
      <w:tr w:rsidR="00162B16" w:rsidRPr="00162B16" w14:paraId="7606BD27" w14:textId="77777777" w:rsidTr="0002463C">
        <w:tc>
          <w:tcPr>
            <w:tcW w:w="0" w:type="auto"/>
          </w:tcPr>
          <w:p w14:paraId="672FF696" w14:textId="77777777" w:rsidR="00C27632" w:rsidRPr="00162B16" w:rsidRDefault="00C27632" w:rsidP="00C27632">
            <w:pPr>
              <w:pStyle w:val="MDPI31text"/>
              <w:ind w:left="0" w:firstLine="0"/>
              <w:rPr>
                <w:color w:val="auto"/>
              </w:rPr>
            </w:pPr>
          </w:p>
        </w:tc>
        <w:tc>
          <w:tcPr>
            <w:tcW w:w="0" w:type="auto"/>
          </w:tcPr>
          <w:p w14:paraId="12FA8364" w14:textId="4E8F36A3" w:rsidR="00C27632" w:rsidRPr="00162B16" w:rsidRDefault="00C27632" w:rsidP="00C27632">
            <w:pPr>
              <w:pStyle w:val="MDPI31text"/>
              <w:ind w:left="0" w:firstLine="0"/>
              <w:rPr>
                <w:color w:val="auto"/>
              </w:rPr>
            </w:pPr>
          </w:p>
        </w:tc>
        <w:tc>
          <w:tcPr>
            <w:tcW w:w="0" w:type="auto"/>
          </w:tcPr>
          <w:p w14:paraId="2F8F60E1" w14:textId="77777777" w:rsidR="00C27632" w:rsidRPr="00162B16" w:rsidRDefault="00C27632" w:rsidP="00C27632">
            <w:pPr>
              <w:pStyle w:val="MDPI31text"/>
              <w:ind w:left="0" w:firstLine="0"/>
              <w:rPr>
                <w:color w:val="auto"/>
              </w:rPr>
            </w:pPr>
          </w:p>
        </w:tc>
        <w:tc>
          <w:tcPr>
            <w:tcW w:w="0" w:type="auto"/>
          </w:tcPr>
          <w:p w14:paraId="2A847181" w14:textId="77777777" w:rsidR="00C27632" w:rsidRPr="00162B16" w:rsidRDefault="00C27632" w:rsidP="00C27632">
            <w:pPr>
              <w:pStyle w:val="MDPI31text"/>
              <w:ind w:left="0" w:firstLine="0"/>
              <w:rPr>
                <w:color w:val="auto"/>
              </w:rPr>
            </w:pPr>
          </w:p>
        </w:tc>
        <w:tc>
          <w:tcPr>
            <w:tcW w:w="0" w:type="auto"/>
          </w:tcPr>
          <w:p w14:paraId="36032C91" w14:textId="77777777" w:rsidR="00C27632" w:rsidRPr="00162B16" w:rsidRDefault="00C27632" w:rsidP="00C27632">
            <w:pPr>
              <w:pStyle w:val="MDPI31text"/>
              <w:ind w:left="0" w:firstLine="0"/>
              <w:rPr>
                <w:color w:val="auto"/>
              </w:rPr>
            </w:pPr>
          </w:p>
        </w:tc>
        <w:tc>
          <w:tcPr>
            <w:tcW w:w="0" w:type="auto"/>
          </w:tcPr>
          <w:p w14:paraId="32D19430" w14:textId="77777777" w:rsidR="00C27632" w:rsidRPr="00162B16" w:rsidRDefault="00C27632" w:rsidP="00C27632">
            <w:pPr>
              <w:pStyle w:val="MDPI31text"/>
              <w:ind w:left="0" w:firstLine="0"/>
              <w:rPr>
                <w:color w:val="auto"/>
              </w:rPr>
            </w:pPr>
          </w:p>
        </w:tc>
      </w:tr>
      <w:tr w:rsidR="00162B16" w:rsidRPr="00162B16" w14:paraId="24D62133" w14:textId="77777777" w:rsidTr="0002463C">
        <w:tc>
          <w:tcPr>
            <w:tcW w:w="0" w:type="auto"/>
          </w:tcPr>
          <w:p w14:paraId="52D96AC1" w14:textId="77777777" w:rsidR="00C27632" w:rsidRPr="00162B16" w:rsidRDefault="00C27632" w:rsidP="00C27632">
            <w:pPr>
              <w:pStyle w:val="MDPI31text"/>
              <w:ind w:left="0" w:firstLine="0"/>
              <w:rPr>
                <w:color w:val="auto"/>
              </w:rPr>
            </w:pPr>
          </w:p>
        </w:tc>
        <w:tc>
          <w:tcPr>
            <w:tcW w:w="0" w:type="auto"/>
          </w:tcPr>
          <w:p w14:paraId="19F798D2" w14:textId="7BE67312" w:rsidR="00C27632" w:rsidRPr="00162B16" w:rsidRDefault="00C27632" w:rsidP="00C27632">
            <w:pPr>
              <w:pStyle w:val="MDPI31text"/>
              <w:ind w:left="0" w:firstLine="0"/>
              <w:rPr>
                <w:color w:val="auto"/>
              </w:rPr>
            </w:pPr>
            <w:r w:rsidRPr="00162B16">
              <w:rPr>
                <w:color w:val="auto"/>
              </w:rPr>
              <w:t>Age</w:t>
            </w:r>
          </w:p>
        </w:tc>
        <w:tc>
          <w:tcPr>
            <w:tcW w:w="0" w:type="auto"/>
          </w:tcPr>
          <w:p w14:paraId="4AAE6B2F" w14:textId="10BE35DE" w:rsidR="00C27632" w:rsidRPr="00162B16" w:rsidRDefault="0088421C" w:rsidP="00C27632">
            <w:pPr>
              <w:pStyle w:val="MDPI31text"/>
              <w:ind w:left="0" w:firstLine="0"/>
              <w:rPr>
                <w:color w:val="auto"/>
              </w:rPr>
            </w:pPr>
            <w:r w:rsidRPr="00162B16">
              <w:rPr>
                <w:color w:val="auto"/>
              </w:rPr>
              <w:t>0.002</w:t>
            </w:r>
          </w:p>
        </w:tc>
        <w:tc>
          <w:tcPr>
            <w:tcW w:w="0" w:type="auto"/>
          </w:tcPr>
          <w:p w14:paraId="2052BB13" w14:textId="56607054" w:rsidR="00C27632" w:rsidRPr="00162B16" w:rsidRDefault="00F4423F" w:rsidP="00C27632">
            <w:pPr>
              <w:pStyle w:val="MDPI31text"/>
              <w:ind w:left="0" w:firstLine="0"/>
              <w:rPr>
                <w:color w:val="auto"/>
              </w:rPr>
            </w:pPr>
            <w:r w:rsidRPr="00162B16">
              <w:rPr>
                <w:color w:val="auto"/>
              </w:rPr>
              <w:t>-2.35</w:t>
            </w:r>
          </w:p>
        </w:tc>
        <w:tc>
          <w:tcPr>
            <w:tcW w:w="0" w:type="auto"/>
          </w:tcPr>
          <w:p w14:paraId="20DF88F1" w14:textId="3E839E89" w:rsidR="00C27632" w:rsidRPr="00162B16" w:rsidRDefault="002905AE" w:rsidP="00C27632">
            <w:pPr>
              <w:pStyle w:val="MDPI31text"/>
              <w:ind w:left="0" w:firstLine="0"/>
              <w:rPr>
                <w:color w:val="auto"/>
              </w:rPr>
            </w:pPr>
            <w:r w:rsidRPr="00162B16">
              <w:rPr>
                <w:color w:val="auto"/>
              </w:rPr>
              <w:t>-0.01 – 0.001</w:t>
            </w:r>
          </w:p>
        </w:tc>
        <w:tc>
          <w:tcPr>
            <w:tcW w:w="0" w:type="auto"/>
          </w:tcPr>
          <w:p w14:paraId="3A955281" w14:textId="0F733B48" w:rsidR="00C27632" w:rsidRPr="00162B16" w:rsidRDefault="004F1874" w:rsidP="00C27632">
            <w:pPr>
              <w:pStyle w:val="MDPI31text"/>
              <w:ind w:left="0" w:firstLine="0"/>
              <w:rPr>
                <w:color w:val="auto"/>
              </w:rPr>
            </w:pPr>
            <w:r w:rsidRPr="00162B16">
              <w:rPr>
                <w:color w:val="auto"/>
              </w:rPr>
              <w:t>0.0</w:t>
            </w:r>
            <w:r w:rsidR="0002463C" w:rsidRPr="00162B16">
              <w:rPr>
                <w:color w:val="auto"/>
              </w:rPr>
              <w:t>3*</w:t>
            </w:r>
          </w:p>
        </w:tc>
      </w:tr>
      <w:tr w:rsidR="00162B16" w:rsidRPr="00162B16" w14:paraId="33741306" w14:textId="77777777" w:rsidTr="0002463C">
        <w:tc>
          <w:tcPr>
            <w:tcW w:w="0" w:type="auto"/>
          </w:tcPr>
          <w:p w14:paraId="55388ECA" w14:textId="77777777" w:rsidR="00C27632" w:rsidRPr="00162B16" w:rsidRDefault="00C27632" w:rsidP="00C27632">
            <w:pPr>
              <w:pStyle w:val="MDPI31text"/>
              <w:ind w:left="0" w:firstLine="0"/>
              <w:rPr>
                <w:color w:val="auto"/>
              </w:rPr>
            </w:pPr>
          </w:p>
        </w:tc>
        <w:tc>
          <w:tcPr>
            <w:tcW w:w="0" w:type="auto"/>
          </w:tcPr>
          <w:p w14:paraId="5B2271B9" w14:textId="79E159A2" w:rsidR="00C27632" w:rsidRPr="00162B16" w:rsidRDefault="00C27632" w:rsidP="00C27632">
            <w:pPr>
              <w:pStyle w:val="MDPI31text"/>
              <w:ind w:left="0" w:firstLine="0"/>
              <w:rPr>
                <w:color w:val="auto"/>
              </w:rPr>
            </w:pPr>
          </w:p>
        </w:tc>
        <w:tc>
          <w:tcPr>
            <w:tcW w:w="0" w:type="auto"/>
          </w:tcPr>
          <w:p w14:paraId="5371BBC5" w14:textId="77777777" w:rsidR="00C27632" w:rsidRPr="00162B16" w:rsidRDefault="00C27632" w:rsidP="00C27632">
            <w:pPr>
              <w:pStyle w:val="MDPI31text"/>
              <w:ind w:left="0" w:firstLine="0"/>
              <w:rPr>
                <w:color w:val="auto"/>
              </w:rPr>
            </w:pPr>
          </w:p>
        </w:tc>
        <w:tc>
          <w:tcPr>
            <w:tcW w:w="0" w:type="auto"/>
          </w:tcPr>
          <w:p w14:paraId="4D3D4E2E" w14:textId="77777777" w:rsidR="00C27632" w:rsidRPr="00162B16" w:rsidRDefault="00C27632" w:rsidP="00C27632">
            <w:pPr>
              <w:pStyle w:val="MDPI31text"/>
              <w:ind w:left="0" w:firstLine="0"/>
              <w:rPr>
                <w:color w:val="auto"/>
              </w:rPr>
            </w:pPr>
          </w:p>
        </w:tc>
        <w:tc>
          <w:tcPr>
            <w:tcW w:w="0" w:type="auto"/>
          </w:tcPr>
          <w:p w14:paraId="43ED1DD7" w14:textId="77777777" w:rsidR="00C27632" w:rsidRPr="00162B16" w:rsidRDefault="00C27632" w:rsidP="00C27632">
            <w:pPr>
              <w:pStyle w:val="MDPI31text"/>
              <w:ind w:left="0" w:firstLine="0"/>
              <w:rPr>
                <w:color w:val="auto"/>
              </w:rPr>
            </w:pPr>
          </w:p>
        </w:tc>
        <w:tc>
          <w:tcPr>
            <w:tcW w:w="0" w:type="auto"/>
          </w:tcPr>
          <w:p w14:paraId="7A9EA6DB" w14:textId="77777777" w:rsidR="00C27632" w:rsidRPr="00162B16" w:rsidRDefault="00C27632" w:rsidP="00C27632">
            <w:pPr>
              <w:pStyle w:val="MDPI31text"/>
              <w:ind w:left="0" w:firstLine="0"/>
              <w:rPr>
                <w:color w:val="auto"/>
              </w:rPr>
            </w:pPr>
          </w:p>
        </w:tc>
      </w:tr>
      <w:tr w:rsidR="00162B16" w:rsidRPr="00162B16" w14:paraId="453135C7" w14:textId="77777777" w:rsidTr="0002463C">
        <w:tc>
          <w:tcPr>
            <w:tcW w:w="0" w:type="auto"/>
            <w:vMerge w:val="restart"/>
          </w:tcPr>
          <w:p w14:paraId="0045F2F7" w14:textId="45033D91" w:rsidR="00C27632" w:rsidRPr="00162B16" w:rsidRDefault="002905AE" w:rsidP="00C27632">
            <w:pPr>
              <w:pStyle w:val="MDPI31text"/>
              <w:ind w:left="0" w:firstLine="0"/>
              <w:rPr>
                <w:color w:val="auto"/>
              </w:rPr>
            </w:pPr>
            <w:r w:rsidRPr="00162B16">
              <w:rPr>
                <w:color w:val="auto"/>
              </w:rPr>
              <w:t>Marital</w:t>
            </w:r>
            <w:r w:rsidR="00C27632" w:rsidRPr="00162B16">
              <w:rPr>
                <w:color w:val="auto"/>
              </w:rPr>
              <w:t xml:space="preserve"> Status</w:t>
            </w:r>
          </w:p>
        </w:tc>
        <w:tc>
          <w:tcPr>
            <w:tcW w:w="0" w:type="auto"/>
          </w:tcPr>
          <w:p w14:paraId="2317E239" w14:textId="75CACDCC" w:rsidR="00C27632" w:rsidRPr="00162B16" w:rsidRDefault="00C27632" w:rsidP="00C27632">
            <w:pPr>
              <w:pStyle w:val="MDPI31text"/>
              <w:ind w:left="0" w:firstLine="0"/>
              <w:rPr>
                <w:color w:val="auto"/>
              </w:rPr>
            </w:pPr>
            <w:r w:rsidRPr="00162B16">
              <w:rPr>
                <w:color w:val="auto"/>
              </w:rPr>
              <w:t>Single</w:t>
            </w:r>
          </w:p>
        </w:tc>
        <w:tc>
          <w:tcPr>
            <w:tcW w:w="0" w:type="auto"/>
          </w:tcPr>
          <w:p w14:paraId="664E7A50" w14:textId="69129387" w:rsidR="00C27632" w:rsidRPr="00162B16" w:rsidRDefault="0088421C" w:rsidP="00C27632">
            <w:pPr>
              <w:pStyle w:val="MDPI31text"/>
              <w:ind w:left="0" w:firstLine="0"/>
              <w:rPr>
                <w:color w:val="auto"/>
              </w:rPr>
            </w:pPr>
            <w:r w:rsidRPr="00162B16">
              <w:rPr>
                <w:color w:val="auto"/>
              </w:rPr>
              <w:t>0.06</w:t>
            </w:r>
          </w:p>
        </w:tc>
        <w:tc>
          <w:tcPr>
            <w:tcW w:w="0" w:type="auto"/>
          </w:tcPr>
          <w:p w14:paraId="6BB729D6" w14:textId="61A70551" w:rsidR="00C27632" w:rsidRPr="00162B16" w:rsidRDefault="00F4423F" w:rsidP="00C27632">
            <w:pPr>
              <w:pStyle w:val="MDPI31text"/>
              <w:ind w:left="0" w:firstLine="0"/>
              <w:rPr>
                <w:color w:val="auto"/>
              </w:rPr>
            </w:pPr>
            <w:r w:rsidRPr="00162B16">
              <w:rPr>
                <w:color w:val="auto"/>
              </w:rPr>
              <w:t>-1.19</w:t>
            </w:r>
          </w:p>
        </w:tc>
        <w:tc>
          <w:tcPr>
            <w:tcW w:w="0" w:type="auto"/>
          </w:tcPr>
          <w:p w14:paraId="6CCCE5EF" w14:textId="297F0A8A" w:rsidR="00C27632" w:rsidRPr="00162B16" w:rsidRDefault="002905AE" w:rsidP="00C27632">
            <w:pPr>
              <w:pStyle w:val="MDPI31text"/>
              <w:ind w:left="0" w:firstLine="0"/>
              <w:rPr>
                <w:color w:val="auto"/>
              </w:rPr>
            </w:pPr>
            <w:r w:rsidRPr="00162B16">
              <w:rPr>
                <w:color w:val="auto"/>
              </w:rPr>
              <w:t>-0.18 – 0.04</w:t>
            </w:r>
          </w:p>
        </w:tc>
        <w:tc>
          <w:tcPr>
            <w:tcW w:w="0" w:type="auto"/>
          </w:tcPr>
          <w:p w14:paraId="0B9DF0F2" w14:textId="2F1DEF05" w:rsidR="00C27632" w:rsidRPr="00162B16" w:rsidRDefault="004F1874" w:rsidP="00C27632">
            <w:pPr>
              <w:pStyle w:val="MDPI31text"/>
              <w:ind w:left="0" w:firstLine="0"/>
              <w:rPr>
                <w:color w:val="auto"/>
              </w:rPr>
            </w:pPr>
            <w:r w:rsidRPr="00162B16">
              <w:rPr>
                <w:color w:val="auto"/>
              </w:rPr>
              <w:t>0.2</w:t>
            </w:r>
            <w:r w:rsidR="0002463C" w:rsidRPr="00162B16">
              <w:rPr>
                <w:color w:val="auto"/>
              </w:rPr>
              <w:t>5</w:t>
            </w:r>
          </w:p>
        </w:tc>
      </w:tr>
      <w:tr w:rsidR="00162B16" w:rsidRPr="00162B16" w14:paraId="236D1D64" w14:textId="77777777" w:rsidTr="0002463C">
        <w:tc>
          <w:tcPr>
            <w:tcW w:w="0" w:type="auto"/>
            <w:vMerge/>
          </w:tcPr>
          <w:p w14:paraId="447ECFF7" w14:textId="77777777" w:rsidR="00C27632" w:rsidRPr="00162B16" w:rsidRDefault="00C27632" w:rsidP="00C27632">
            <w:pPr>
              <w:pStyle w:val="MDPI31text"/>
              <w:ind w:left="0" w:firstLine="0"/>
              <w:rPr>
                <w:color w:val="auto"/>
              </w:rPr>
            </w:pPr>
          </w:p>
        </w:tc>
        <w:tc>
          <w:tcPr>
            <w:tcW w:w="0" w:type="auto"/>
          </w:tcPr>
          <w:p w14:paraId="68B905C2" w14:textId="168697EB" w:rsidR="00C27632" w:rsidRPr="00162B16" w:rsidRDefault="00C27632" w:rsidP="00C27632">
            <w:pPr>
              <w:pStyle w:val="MDPI31text"/>
              <w:ind w:left="0" w:firstLine="0"/>
              <w:rPr>
                <w:color w:val="auto"/>
              </w:rPr>
            </w:pPr>
            <w:r w:rsidRPr="00162B16">
              <w:rPr>
                <w:color w:val="auto"/>
              </w:rPr>
              <w:t>Married</w:t>
            </w:r>
          </w:p>
        </w:tc>
        <w:tc>
          <w:tcPr>
            <w:tcW w:w="0" w:type="auto"/>
          </w:tcPr>
          <w:p w14:paraId="1D1EE15C" w14:textId="1E8B1AD1" w:rsidR="00C27632" w:rsidRPr="00162B16" w:rsidRDefault="0088421C" w:rsidP="00C27632">
            <w:pPr>
              <w:pStyle w:val="MDPI31text"/>
              <w:ind w:left="0" w:firstLine="0"/>
              <w:rPr>
                <w:color w:val="auto"/>
              </w:rPr>
            </w:pPr>
            <w:r w:rsidRPr="00162B16">
              <w:rPr>
                <w:color w:val="auto"/>
              </w:rPr>
              <w:t>0.05</w:t>
            </w:r>
          </w:p>
        </w:tc>
        <w:tc>
          <w:tcPr>
            <w:tcW w:w="0" w:type="auto"/>
          </w:tcPr>
          <w:p w14:paraId="44B83FE4" w14:textId="168C33E2" w:rsidR="00C27632" w:rsidRPr="00162B16" w:rsidRDefault="00F4423F" w:rsidP="00C27632">
            <w:pPr>
              <w:pStyle w:val="MDPI31text"/>
              <w:ind w:left="0" w:firstLine="0"/>
              <w:rPr>
                <w:color w:val="auto"/>
              </w:rPr>
            </w:pPr>
            <w:r w:rsidRPr="00162B16">
              <w:rPr>
                <w:color w:val="auto"/>
              </w:rPr>
              <w:t>-1.12</w:t>
            </w:r>
          </w:p>
        </w:tc>
        <w:tc>
          <w:tcPr>
            <w:tcW w:w="0" w:type="auto"/>
          </w:tcPr>
          <w:p w14:paraId="6B77F3E1" w14:textId="13030ECB" w:rsidR="00C27632" w:rsidRPr="00162B16" w:rsidRDefault="002905AE" w:rsidP="00C27632">
            <w:pPr>
              <w:pStyle w:val="MDPI31text"/>
              <w:ind w:left="0" w:firstLine="0"/>
              <w:rPr>
                <w:color w:val="auto"/>
              </w:rPr>
            </w:pPr>
            <w:r w:rsidRPr="00162B16">
              <w:rPr>
                <w:color w:val="auto"/>
              </w:rPr>
              <w:t>-0.15 – 0.04</w:t>
            </w:r>
          </w:p>
        </w:tc>
        <w:tc>
          <w:tcPr>
            <w:tcW w:w="0" w:type="auto"/>
          </w:tcPr>
          <w:p w14:paraId="73D3E7B6" w14:textId="53F35E42" w:rsidR="00C27632" w:rsidRPr="00162B16" w:rsidRDefault="004F1874" w:rsidP="00C27632">
            <w:pPr>
              <w:pStyle w:val="MDPI31text"/>
              <w:ind w:left="0" w:firstLine="0"/>
              <w:rPr>
                <w:color w:val="auto"/>
              </w:rPr>
            </w:pPr>
            <w:r w:rsidRPr="00162B16">
              <w:rPr>
                <w:color w:val="auto"/>
              </w:rPr>
              <w:t>0.2</w:t>
            </w:r>
            <w:r w:rsidR="0002463C" w:rsidRPr="00162B16">
              <w:rPr>
                <w:color w:val="auto"/>
              </w:rPr>
              <w:t>7</w:t>
            </w:r>
          </w:p>
        </w:tc>
      </w:tr>
      <w:tr w:rsidR="00162B16" w:rsidRPr="00162B16" w14:paraId="36001313" w14:textId="77777777" w:rsidTr="0002463C">
        <w:tc>
          <w:tcPr>
            <w:tcW w:w="0" w:type="auto"/>
            <w:vMerge/>
          </w:tcPr>
          <w:p w14:paraId="389F1FB7" w14:textId="77777777" w:rsidR="00C27632" w:rsidRPr="00162B16" w:rsidRDefault="00C27632" w:rsidP="00C27632">
            <w:pPr>
              <w:pStyle w:val="MDPI31text"/>
              <w:ind w:left="0" w:firstLine="0"/>
              <w:rPr>
                <w:color w:val="auto"/>
              </w:rPr>
            </w:pPr>
          </w:p>
        </w:tc>
        <w:tc>
          <w:tcPr>
            <w:tcW w:w="0" w:type="auto"/>
          </w:tcPr>
          <w:p w14:paraId="2C0D4AF0" w14:textId="4FFD0469" w:rsidR="00C27632" w:rsidRPr="00162B16" w:rsidRDefault="00C27632" w:rsidP="00C27632">
            <w:pPr>
              <w:pStyle w:val="MDPI31text"/>
              <w:ind w:left="0" w:firstLine="0"/>
              <w:rPr>
                <w:color w:val="auto"/>
              </w:rPr>
            </w:pPr>
            <w:r w:rsidRPr="00162B16">
              <w:rPr>
                <w:color w:val="auto"/>
              </w:rPr>
              <w:t>Widowed</w:t>
            </w:r>
          </w:p>
        </w:tc>
        <w:tc>
          <w:tcPr>
            <w:tcW w:w="0" w:type="auto"/>
          </w:tcPr>
          <w:p w14:paraId="1500A937" w14:textId="720A2DDD" w:rsidR="00C27632" w:rsidRPr="00162B16" w:rsidRDefault="0088421C" w:rsidP="00C27632">
            <w:pPr>
              <w:pStyle w:val="MDPI31text"/>
              <w:ind w:left="0" w:firstLine="0"/>
              <w:rPr>
                <w:color w:val="auto"/>
              </w:rPr>
            </w:pPr>
            <w:r w:rsidRPr="00162B16">
              <w:rPr>
                <w:color w:val="auto"/>
              </w:rPr>
              <w:t>0.06</w:t>
            </w:r>
          </w:p>
        </w:tc>
        <w:tc>
          <w:tcPr>
            <w:tcW w:w="0" w:type="auto"/>
          </w:tcPr>
          <w:p w14:paraId="55685628" w14:textId="568104B3" w:rsidR="00C27632" w:rsidRPr="00162B16" w:rsidRDefault="00F4423F" w:rsidP="00C27632">
            <w:pPr>
              <w:pStyle w:val="MDPI31text"/>
              <w:ind w:left="0" w:firstLine="0"/>
              <w:rPr>
                <w:color w:val="auto"/>
              </w:rPr>
            </w:pPr>
            <w:r w:rsidRPr="00162B16">
              <w:rPr>
                <w:color w:val="auto"/>
              </w:rPr>
              <w:t>-0.78</w:t>
            </w:r>
          </w:p>
        </w:tc>
        <w:tc>
          <w:tcPr>
            <w:tcW w:w="0" w:type="auto"/>
          </w:tcPr>
          <w:p w14:paraId="1EBE18B2" w14:textId="6D8F5369" w:rsidR="00C27632" w:rsidRPr="00162B16" w:rsidRDefault="002905AE" w:rsidP="00C27632">
            <w:pPr>
              <w:pStyle w:val="MDPI31text"/>
              <w:ind w:left="0" w:firstLine="0"/>
              <w:rPr>
                <w:color w:val="auto"/>
              </w:rPr>
            </w:pPr>
            <w:r w:rsidRPr="00162B16">
              <w:rPr>
                <w:color w:val="auto"/>
              </w:rPr>
              <w:t>-0.17 – 0.08</w:t>
            </w:r>
          </w:p>
        </w:tc>
        <w:tc>
          <w:tcPr>
            <w:tcW w:w="0" w:type="auto"/>
          </w:tcPr>
          <w:p w14:paraId="7DC6282C" w14:textId="2A8F5CBB" w:rsidR="00C27632" w:rsidRPr="00162B16" w:rsidRDefault="0088421C" w:rsidP="00C27632">
            <w:pPr>
              <w:pStyle w:val="MDPI31text"/>
              <w:ind w:left="0" w:firstLine="0"/>
              <w:rPr>
                <w:color w:val="auto"/>
              </w:rPr>
            </w:pPr>
            <w:r w:rsidRPr="00162B16">
              <w:rPr>
                <w:color w:val="auto"/>
              </w:rPr>
              <w:t>0.4</w:t>
            </w:r>
            <w:r w:rsidR="0002463C" w:rsidRPr="00162B16">
              <w:rPr>
                <w:color w:val="auto"/>
              </w:rPr>
              <w:t>3</w:t>
            </w:r>
          </w:p>
        </w:tc>
      </w:tr>
      <w:tr w:rsidR="00162B16" w:rsidRPr="00162B16" w14:paraId="5F5B5FBE" w14:textId="77777777" w:rsidTr="0002463C">
        <w:tc>
          <w:tcPr>
            <w:tcW w:w="0" w:type="auto"/>
            <w:vMerge/>
          </w:tcPr>
          <w:p w14:paraId="7FDA6406" w14:textId="77777777" w:rsidR="00C27632" w:rsidRPr="00162B16" w:rsidRDefault="00C27632" w:rsidP="00C27632">
            <w:pPr>
              <w:pStyle w:val="MDPI31text"/>
              <w:ind w:left="0" w:firstLine="0"/>
              <w:rPr>
                <w:color w:val="auto"/>
              </w:rPr>
            </w:pPr>
          </w:p>
        </w:tc>
        <w:tc>
          <w:tcPr>
            <w:tcW w:w="0" w:type="auto"/>
          </w:tcPr>
          <w:p w14:paraId="372E8BE3" w14:textId="4B9074B7" w:rsidR="00C27632" w:rsidRPr="00162B16" w:rsidRDefault="00C27632" w:rsidP="00C27632">
            <w:pPr>
              <w:pStyle w:val="MDPI31text"/>
              <w:ind w:left="0" w:firstLine="0"/>
              <w:rPr>
                <w:color w:val="auto"/>
              </w:rPr>
            </w:pPr>
            <w:r w:rsidRPr="00162B16">
              <w:rPr>
                <w:color w:val="auto"/>
              </w:rPr>
              <w:t>Divorced</w:t>
            </w:r>
          </w:p>
        </w:tc>
        <w:tc>
          <w:tcPr>
            <w:tcW w:w="0" w:type="auto"/>
          </w:tcPr>
          <w:p w14:paraId="0FB963AD" w14:textId="77777777" w:rsidR="00C27632" w:rsidRPr="00162B16" w:rsidRDefault="00C27632" w:rsidP="00C27632">
            <w:pPr>
              <w:pStyle w:val="MDPI31text"/>
              <w:ind w:left="0" w:firstLine="0"/>
              <w:rPr>
                <w:color w:val="auto"/>
              </w:rPr>
            </w:pPr>
          </w:p>
        </w:tc>
        <w:tc>
          <w:tcPr>
            <w:tcW w:w="0" w:type="auto"/>
          </w:tcPr>
          <w:p w14:paraId="5631A004" w14:textId="77777777" w:rsidR="00C27632" w:rsidRPr="00162B16" w:rsidRDefault="00C27632" w:rsidP="00C27632">
            <w:pPr>
              <w:pStyle w:val="MDPI31text"/>
              <w:ind w:left="0" w:firstLine="0"/>
              <w:rPr>
                <w:color w:val="auto"/>
              </w:rPr>
            </w:pPr>
          </w:p>
        </w:tc>
        <w:tc>
          <w:tcPr>
            <w:tcW w:w="0" w:type="auto"/>
          </w:tcPr>
          <w:p w14:paraId="48D48DD2" w14:textId="77777777" w:rsidR="00C27632" w:rsidRPr="00162B16" w:rsidRDefault="00C27632" w:rsidP="00C27632">
            <w:pPr>
              <w:pStyle w:val="MDPI31text"/>
              <w:ind w:left="0" w:firstLine="0"/>
              <w:rPr>
                <w:color w:val="auto"/>
              </w:rPr>
            </w:pPr>
          </w:p>
        </w:tc>
        <w:tc>
          <w:tcPr>
            <w:tcW w:w="0" w:type="auto"/>
          </w:tcPr>
          <w:p w14:paraId="1D519F5C" w14:textId="77777777" w:rsidR="00C27632" w:rsidRPr="00162B16" w:rsidRDefault="00C27632" w:rsidP="00C27632">
            <w:pPr>
              <w:pStyle w:val="MDPI31text"/>
              <w:ind w:left="0" w:firstLine="0"/>
              <w:rPr>
                <w:color w:val="auto"/>
              </w:rPr>
            </w:pPr>
          </w:p>
        </w:tc>
      </w:tr>
      <w:tr w:rsidR="00162B16" w:rsidRPr="00162B16" w14:paraId="4F356E57" w14:textId="77777777" w:rsidTr="0002463C">
        <w:tc>
          <w:tcPr>
            <w:tcW w:w="0" w:type="auto"/>
          </w:tcPr>
          <w:p w14:paraId="36E3D297" w14:textId="77777777" w:rsidR="00C27632" w:rsidRPr="00162B16" w:rsidRDefault="00C27632" w:rsidP="00C27632">
            <w:pPr>
              <w:pStyle w:val="MDPI31text"/>
              <w:ind w:left="0" w:firstLine="0"/>
              <w:rPr>
                <w:color w:val="auto"/>
              </w:rPr>
            </w:pPr>
          </w:p>
        </w:tc>
        <w:tc>
          <w:tcPr>
            <w:tcW w:w="0" w:type="auto"/>
          </w:tcPr>
          <w:p w14:paraId="4EA06230" w14:textId="783C2852" w:rsidR="00C27632" w:rsidRPr="00162B16" w:rsidRDefault="00C27632" w:rsidP="00C27632">
            <w:pPr>
              <w:pStyle w:val="MDPI31text"/>
              <w:ind w:left="0" w:firstLine="0"/>
              <w:rPr>
                <w:color w:val="auto"/>
              </w:rPr>
            </w:pPr>
          </w:p>
        </w:tc>
        <w:tc>
          <w:tcPr>
            <w:tcW w:w="0" w:type="auto"/>
          </w:tcPr>
          <w:p w14:paraId="79E3B30F" w14:textId="77777777" w:rsidR="00C27632" w:rsidRPr="00162B16" w:rsidRDefault="00C27632" w:rsidP="00C27632">
            <w:pPr>
              <w:pStyle w:val="MDPI31text"/>
              <w:ind w:left="0" w:firstLine="0"/>
              <w:rPr>
                <w:color w:val="auto"/>
              </w:rPr>
            </w:pPr>
          </w:p>
        </w:tc>
        <w:tc>
          <w:tcPr>
            <w:tcW w:w="0" w:type="auto"/>
          </w:tcPr>
          <w:p w14:paraId="2F594EAC" w14:textId="77777777" w:rsidR="00C27632" w:rsidRPr="00162B16" w:rsidRDefault="00C27632" w:rsidP="00C27632">
            <w:pPr>
              <w:pStyle w:val="MDPI31text"/>
              <w:ind w:left="0" w:firstLine="0"/>
              <w:rPr>
                <w:color w:val="auto"/>
              </w:rPr>
            </w:pPr>
          </w:p>
        </w:tc>
        <w:tc>
          <w:tcPr>
            <w:tcW w:w="0" w:type="auto"/>
          </w:tcPr>
          <w:p w14:paraId="102BD8A8" w14:textId="77777777" w:rsidR="00C27632" w:rsidRPr="00162B16" w:rsidRDefault="00C27632" w:rsidP="00C27632">
            <w:pPr>
              <w:pStyle w:val="MDPI31text"/>
              <w:ind w:left="0" w:firstLine="0"/>
              <w:rPr>
                <w:color w:val="auto"/>
              </w:rPr>
            </w:pPr>
          </w:p>
        </w:tc>
        <w:tc>
          <w:tcPr>
            <w:tcW w:w="0" w:type="auto"/>
          </w:tcPr>
          <w:p w14:paraId="7D235309" w14:textId="77777777" w:rsidR="00C27632" w:rsidRPr="00162B16" w:rsidRDefault="00C27632" w:rsidP="00C27632">
            <w:pPr>
              <w:pStyle w:val="MDPI31text"/>
              <w:ind w:left="0" w:firstLine="0"/>
              <w:rPr>
                <w:color w:val="auto"/>
              </w:rPr>
            </w:pPr>
          </w:p>
        </w:tc>
      </w:tr>
      <w:tr w:rsidR="00162B16" w:rsidRPr="00162B16" w14:paraId="685AEB7A" w14:textId="77777777" w:rsidTr="0002463C">
        <w:tc>
          <w:tcPr>
            <w:tcW w:w="0" w:type="auto"/>
            <w:vMerge w:val="restart"/>
          </w:tcPr>
          <w:p w14:paraId="3575224D" w14:textId="3415BD25" w:rsidR="00C27632" w:rsidRPr="00162B16" w:rsidRDefault="00C27632" w:rsidP="00C27632">
            <w:pPr>
              <w:pStyle w:val="MDPI31text"/>
              <w:ind w:left="0" w:firstLine="0"/>
              <w:rPr>
                <w:color w:val="auto"/>
              </w:rPr>
            </w:pPr>
            <w:r w:rsidRPr="00162B16">
              <w:rPr>
                <w:color w:val="auto"/>
              </w:rPr>
              <w:t>Self-Rate health</w:t>
            </w:r>
          </w:p>
        </w:tc>
        <w:tc>
          <w:tcPr>
            <w:tcW w:w="0" w:type="auto"/>
          </w:tcPr>
          <w:p w14:paraId="4FD6D300" w14:textId="5D12CDFC" w:rsidR="00C27632" w:rsidRPr="00162B16" w:rsidRDefault="00C27632" w:rsidP="00C27632">
            <w:pPr>
              <w:pStyle w:val="MDPI31text"/>
              <w:ind w:left="0" w:firstLine="0"/>
              <w:rPr>
                <w:color w:val="auto"/>
              </w:rPr>
            </w:pPr>
            <w:r w:rsidRPr="00162B16">
              <w:rPr>
                <w:color w:val="auto"/>
              </w:rPr>
              <w:t>Very good</w:t>
            </w:r>
          </w:p>
        </w:tc>
        <w:tc>
          <w:tcPr>
            <w:tcW w:w="0" w:type="auto"/>
          </w:tcPr>
          <w:p w14:paraId="7F698734" w14:textId="26F0EF7C" w:rsidR="00C27632" w:rsidRPr="00162B16" w:rsidRDefault="0088421C" w:rsidP="00C27632">
            <w:pPr>
              <w:pStyle w:val="MDPI31text"/>
              <w:ind w:left="0" w:firstLine="0"/>
              <w:rPr>
                <w:color w:val="auto"/>
              </w:rPr>
            </w:pPr>
            <w:r w:rsidRPr="00162B16">
              <w:rPr>
                <w:color w:val="auto"/>
              </w:rPr>
              <w:t>0.14</w:t>
            </w:r>
          </w:p>
        </w:tc>
        <w:tc>
          <w:tcPr>
            <w:tcW w:w="0" w:type="auto"/>
          </w:tcPr>
          <w:p w14:paraId="0E74DECA" w14:textId="516690F4" w:rsidR="00C27632" w:rsidRPr="00162B16" w:rsidRDefault="00F4423F" w:rsidP="00C27632">
            <w:pPr>
              <w:pStyle w:val="MDPI31text"/>
              <w:ind w:left="0" w:firstLine="0"/>
              <w:rPr>
                <w:color w:val="auto"/>
              </w:rPr>
            </w:pPr>
            <w:r w:rsidRPr="00162B16">
              <w:rPr>
                <w:color w:val="auto"/>
              </w:rPr>
              <w:t>2.51</w:t>
            </w:r>
          </w:p>
        </w:tc>
        <w:tc>
          <w:tcPr>
            <w:tcW w:w="0" w:type="auto"/>
          </w:tcPr>
          <w:p w14:paraId="34939977" w14:textId="316A07BA" w:rsidR="00C27632" w:rsidRPr="00162B16" w:rsidRDefault="002905AE" w:rsidP="00C27632">
            <w:pPr>
              <w:pStyle w:val="MDPI31text"/>
              <w:ind w:left="0" w:firstLine="0"/>
              <w:rPr>
                <w:color w:val="auto"/>
              </w:rPr>
            </w:pPr>
            <w:r w:rsidRPr="00162B16">
              <w:rPr>
                <w:color w:val="auto"/>
              </w:rPr>
              <w:t>0.0</w:t>
            </w:r>
            <w:r w:rsidR="0002463C" w:rsidRPr="00162B16">
              <w:rPr>
                <w:color w:val="auto"/>
              </w:rPr>
              <w:t>7</w:t>
            </w:r>
            <w:r w:rsidRPr="00162B16">
              <w:rPr>
                <w:color w:val="auto"/>
              </w:rPr>
              <w:t xml:space="preserve"> – 0.6</w:t>
            </w:r>
            <w:r w:rsidR="0002463C" w:rsidRPr="00162B16">
              <w:rPr>
                <w:color w:val="auto"/>
              </w:rPr>
              <w:t>3</w:t>
            </w:r>
          </w:p>
        </w:tc>
        <w:tc>
          <w:tcPr>
            <w:tcW w:w="0" w:type="auto"/>
          </w:tcPr>
          <w:p w14:paraId="1D7338E8" w14:textId="0CDD2DE6" w:rsidR="00C27632" w:rsidRPr="00162B16" w:rsidRDefault="0088421C" w:rsidP="00C27632">
            <w:pPr>
              <w:pStyle w:val="MDPI31text"/>
              <w:ind w:left="0" w:firstLine="0"/>
              <w:rPr>
                <w:color w:val="auto"/>
              </w:rPr>
            </w:pPr>
            <w:r w:rsidRPr="00162B16">
              <w:rPr>
                <w:color w:val="auto"/>
              </w:rPr>
              <w:t>0.0</w:t>
            </w:r>
            <w:r w:rsidR="0002463C" w:rsidRPr="00162B16">
              <w:rPr>
                <w:color w:val="auto"/>
              </w:rPr>
              <w:t>2*</w:t>
            </w:r>
          </w:p>
        </w:tc>
      </w:tr>
      <w:tr w:rsidR="00162B16" w:rsidRPr="00162B16" w14:paraId="4690850B" w14:textId="77777777" w:rsidTr="0002463C">
        <w:tc>
          <w:tcPr>
            <w:tcW w:w="0" w:type="auto"/>
            <w:vMerge/>
          </w:tcPr>
          <w:p w14:paraId="60E2FC38" w14:textId="77777777" w:rsidR="00C27632" w:rsidRPr="00162B16" w:rsidRDefault="00C27632" w:rsidP="00C27632">
            <w:pPr>
              <w:pStyle w:val="MDPI31text"/>
              <w:ind w:left="0" w:firstLine="0"/>
              <w:rPr>
                <w:color w:val="auto"/>
              </w:rPr>
            </w:pPr>
          </w:p>
        </w:tc>
        <w:tc>
          <w:tcPr>
            <w:tcW w:w="0" w:type="auto"/>
          </w:tcPr>
          <w:p w14:paraId="35351F27" w14:textId="69B1B112" w:rsidR="00C27632" w:rsidRPr="00162B16" w:rsidRDefault="00C27632" w:rsidP="00C27632">
            <w:pPr>
              <w:pStyle w:val="MDPI31text"/>
              <w:ind w:left="0" w:firstLine="0"/>
              <w:rPr>
                <w:color w:val="auto"/>
              </w:rPr>
            </w:pPr>
            <w:r w:rsidRPr="00162B16">
              <w:rPr>
                <w:color w:val="auto"/>
              </w:rPr>
              <w:t>Good</w:t>
            </w:r>
          </w:p>
        </w:tc>
        <w:tc>
          <w:tcPr>
            <w:tcW w:w="0" w:type="auto"/>
          </w:tcPr>
          <w:p w14:paraId="51F8F89A" w14:textId="3554EC74" w:rsidR="00C27632" w:rsidRPr="00162B16" w:rsidRDefault="0088421C" w:rsidP="00C27632">
            <w:pPr>
              <w:pStyle w:val="MDPI31text"/>
              <w:ind w:left="0" w:firstLine="0"/>
              <w:rPr>
                <w:color w:val="auto"/>
              </w:rPr>
            </w:pPr>
            <w:r w:rsidRPr="00162B16">
              <w:rPr>
                <w:color w:val="auto"/>
              </w:rPr>
              <w:t>0.14</w:t>
            </w:r>
          </w:p>
        </w:tc>
        <w:tc>
          <w:tcPr>
            <w:tcW w:w="0" w:type="auto"/>
          </w:tcPr>
          <w:p w14:paraId="57661931" w14:textId="732ECA2B" w:rsidR="00C27632" w:rsidRPr="00162B16" w:rsidRDefault="00F4423F" w:rsidP="00C27632">
            <w:pPr>
              <w:pStyle w:val="MDPI31text"/>
              <w:ind w:left="0" w:firstLine="0"/>
              <w:rPr>
                <w:color w:val="auto"/>
              </w:rPr>
            </w:pPr>
            <w:r w:rsidRPr="00162B16">
              <w:rPr>
                <w:color w:val="auto"/>
              </w:rPr>
              <w:t>1.70</w:t>
            </w:r>
          </w:p>
        </w:tc>
        <w:tc>
          <w:tcPr>
            <w:tcW w:w="0" w:type="auto"/>
          </w:tcPr>
          <w:p w14:paraId="02E14033" w14:textId="2336B536" w:rsidR="00C27632" w:rsidRPr="00162B16" w:rsidRDefault="002905AE" w:rsidP="00C27632">
            <w:pPr>
              <w:pStyle w:val="MDPI31text"/>
              <w:ind w:left="0" w:firstLine="0"/>
              <w:rPr>
                <w:color w:val="auto"/>
              </w:rPr>
            </w:pPr>
            <w:r w:rsidRPr="00162B16">
              <w:rPr>
                <w:color w:val="auto"/>
              </w:rPr>
              <w:t>-0.04 – 0.51</w:t>
            </w:r>
          </w:p>
        </w:tc>
        <w:tc>
          <w:tcPr>
            <w:tcW w:w="0" w:type="auto"/>
          </w:tcPr>
          <w:p w14:paraId="16689E60" w14:textId="65DA344B" w:rsidR="00C27632" w:rsidRPr="00162B16" w:rsidRDefault="0088421C" w:rsidP="00C27632">
            <w:pPr>
              <w:pStyle w:val="MDPI31text"/>
              <w:ind w:left="0" w:firstLine="0"/>
              <w:rPr>
                <w:color w:val="auto"/>
              </w:rPr>
            </w:pPr>
            <w:r w:rsidRPr="00162B16">
              <w:rPr>
                <w:color w:val="auto"/>
              </w:rPr>
              <w:t>0.09</w:t>
            </w:r>
          </w:p>
        </w:tc>
      </w:tr>
      <w:tr w:rsidR="00162B16" w:rsidRPr="00162B16" w14:paraId="4E0A0545" w14:textId="77777777" w:rsidTr="0002463C">
        <w:tc>
          <w:tcPr>
            <w:tcW w:w="0" w:type="auto"/>
            <w:vMerge/>
          </w:tcPr>
          <w:p w14:paraId="44B32E31" w14:textId="77777777" w:rsidR="00C27632" w:rsidRPr="00162B16" w:rsidRDefault="00C27632" w:rsidP="00C27632">
            <w:pPr>
              <w:pStyle w:val="MDPI31text"/>
              <w:ind w:left="0" w:firstLine="0"/>
              <w:rPr>
                <w:color w:val="auto"/>
              </w:rPr>
            </w:pPr>
          </w:p>
        </w:tc>
        <w:tc>
          <w:tcPr>
            <w:tcW w:w="0" w:type="auto"/>
          </w:tcPr>
          <w:p w14:paraId="314CE25F" w14:textId="7EF2D3C5" w:rsidR="00C27632" w:rsidRPr="00162B16" w:rsidRDefault="00C27632" w:rsidP="00C27632">
            <w:pPr>
              <w:pStyle w:val="MDPI31text"/>
              <w:ind w:left="0" w:firstLine="0"/>
              <w:rPr>
                <w:color w:val="auto"/>
              </w:rPr>
            </w:pPr>
            <w:r w:rsidRPr="00162B16">
              <w:rPr>
                <w:color w:val="auto"/>
              </w:rPr>
              <w:t>Fair</w:t>
            </w:r>
          </w:p>
        </w:tc>
        <w:tc>
          <w:tcPr>
            <w:tcW w:w="0" w:type="auto"/>
          </w:tcPr>
          <w:p w14:paraId="6D951526" w14:textId="086089B8" w:rsidR="00C27632" w:rsidRPr="00162B16" w:rsidRDefault="0088421C" w:rsidP="00C27632">
            <w:pPr>
              <w:pStyle w:val="MDPI31text"/>
              <w:ind w:left="0" w:firstLine="0"/>
              <w:rPr>
                <w:color w:val="auto"/>
              </w:rPr>
            </w:pPr>
            <w:r w:rsidRPr="00162B16">
              <w:rPr>
                <w:color w:val="auto"/>
              </w:rPr>
              <w:t>0.14</w:t>
            </w:r>
          </w:p>
        </w:tc>
        <w:tc>
          <w:tcPr>
            <w:tcW w:w="0" w:type="auto"/>
          </w:tcPr>
          <w:p w14:paraId="0B594D51" w14:textId="358BC5AD" w:rsidR="00C27632" w:rsidRPr="00162B16" w:rsidRDefault="00F4423F" w:rsidP="00C27632">
            <w:pPr>
              <w:pStyle w:val="MDPI31text"/>
              <w:ind w:left="0" w:firstLine="0"/>
              <w:rPr>
                <w:color w:val="auto"/>
              </w:rPr>
            </w:pPr>
            <w:r w:rsidRPr="00162B16">
              <w:rPr>
                <w:color w:val="auto"/>
              </w:rPr>
              <w:t>0.449</w:t>
            </w:r>
          </w:p>
        </w:tc>
        <w:tc>
          <w:tcPr>
            <w:tcW w:w="0" w:type="auto"/>
          </w:tcPr>
          <w:p w14:paraId="7BF7CF4C" w14:textId="66E2EDF4" w:rsidR="00C27632" w:rsidRPr="00162B16" w:rsidRDefault="002905AE" w:rsidP="00C27632">
            <w:pPr>
              <w:pStyle w:val="MDPI31text"/>
              <w:ind w:left="0" w:firstLine="0"/>
              <w:rPr>
                <w:color w:val="auto"/>
              </w:rPr>
            </w:pPr>
            <w:r w:rsidRPr="00162B16">
              <w:rPr>
                <w:color w:val="auto"/>
              </w:rPr>
              <w:t>-0.02 – 0.34</w:t>
            </w:r>
          </w:p>
        </w:tc>
        <w:tc>
          <w:tcPr>
            <w:tcW w:w="0" w:type="auto"/>
          </w:tcPr>
          <w:p w14:paraId="6CD8A39F" w14:textId="59CF7AF7" w:rsidR="00C27632" w:rsidRPr="00162B16" w:rsidRDefault="0088421C" w:rsidP="00C27632">
            <w:pPr>
              <w:pStyle w:val="MDPI31text"/>
              <w:ind w:left="0" w:firstLine="0"/>
              <w:rPr>
                <w:color w:val="auto"/>
              </w:rPr>
            </w:pPr>
            <w:r w:rsidRPr="00162B16">
              <w:rPr>
                <w:color w:val="auto"/>
              </w:rPr>
              <w:t>0.63</w:t>
            </w:r>
          </w:p>
        </w:tc>
      </w:tr>
      <w:tr w:rsidR="00162B16" w:rsidRPr="00162B16" w14:paraId="3EDFA204" w14:textId="77777777" w:rsidTr="0002463C">
        <w:tc>
          <w:tcPr>
            <w:tcW w:w="0" w:type="auto"/>
            <w:vMerge/>
          </w:tcPr>
          <w:p w14:paraId="7DCAC036" w14:textId="77777777" w:rsidR="00C27632" w:rsidRPr="00162B16" w:rsidRDefault="00C27632" w:rsidP="00C27632">
            <w:pPr>
              <w:pStyle w:val="MDPI31text"/>
              <w:ind w:left="0" w:firstLine="0"/>
              <w:rPr>
                <w:color w:val="auto"/>
              </w:rPr>
            </w:pPr>
          </w:p>
        </w:tc>
        <w:tc>
          <w:tcPr>
            <w:tcW w:w="0" w:type="auto"/>
          </w:tcPr>
          <w:p w14:paraId="7179014E" w14:textId="28FFF0EF" w:rsidR="00C27632" w:rsidRPr="00162B16" w:rsidRDefault="00C27632" w:rsidP="00C27632">
            <w:pPr>
              <w:pStyle w:val="MDPI31text"/>
              <w:ind w:left="0" w:firstLine="0"/>
              <w:rPr>
                <w:color w:val="auto"/>
              </w:rPr>
            </w:pPr>
            <w:r w:rsidRPr="00162B16">
              <w:rPr>
                <w:color w:val="auto"/>
              </w:rPr>
              <w:t>Bad</w:t>
            </w:r>
          </w:p>
        </w:tc>
        <w:tc>
          <w:tcPr>
            <w:tcW w:w="0" w:type="auto"/>
          </w:tcPr>
          <w:p w14:paraId="4A33F3FD" w14:textId="6BDE747D" w:rsidR="00C27632" w:rsidRPr="00162B16" w:rsidRDefault="0088421C" w:rsidP="00C27632">
            <w:pPr>
              <w:pStyle w:val="MDPI31text"/>
              <w:ind w:left="0" w:firstLine="0"/>
              <w:rPr>
                <w:color w:val="auto"/>
              </w:rPr>
            </w:pPr>
            <w:r w:rsidRPr="00162B16">
              <w:rPr>
                <w:color w:val="auto"/>
              </w:rPr>
              <w:t>0.16</w:t>
            </w:r>
          </w:p>
        </w:tc>
        <w:tc>
          <w:tcPr>
            <w:tcW w:w="0" w:type="auto"/>
          </w:tcPr>
          <w:p w14:paraId="4624050E" w14:textId="1CBB106D" w:rsidR="00C27632" w:rsidRPr="00162B16" w:rsidRDefault="00F4423F" w:rsidP="00C27632">
            <w:pPr>
              <w:pStyle w:val="MDPI31text"/>
              <w:ind w:left="0" w:firstLine="0"/>
              <w:rPr>
                <w:color w:val="auto"/>
              </w:rPr>
            </w:pPr>
            <w:r w:rsidRPr="00162B16">
              <w:rPr>
                <w:color w:val="auto"/>
              </w:rPr>
              <w:t>-.083</w:t>
            </w:r>
          </w:p>
        </w:tc>
        <w:tc>
          <w:tcPr>
            <w:tcW w:w="0" w:type="auto"/>
          </w:tcPr>
          <w:p w14:paraId="6EE2C340" w14:textId="1D54C258" w:rsidR="00C27632" w:rsidRPr="00162B16" w:rsidRDefault="002905AE" w:rsidP="00C27632">
            <w:pPr>
              <w:pStyle w:val="MDPI31text"/>
              <w:ind w:left="0" w:firstLine="0"/>
              <w:rPr>
                <w:color w:val="auto"/>
              </w:rPr>
            </w:pPr>
            <w:r w:rsidRPr="00162B16">
              <w:rPr>
                <w:color w:val="auto"/>
              </w:rPr>
              <w:t>-0.43 – 0.17</w:t>
            </w:r>
          </w:p>
        </w:tc>
        <w:tc>
          <w:tcPr>
            <w:tcW w:w="0" w:type="auto"/>
          </w:tcPr>
          <w:p w14:paraId="0C694DF0" w14:textId="7D688CB1" w:rsidR="00C27632" w:rsidRPr="00162B16" w:rsidRDefault="0088421C" w:rsidP="00C27632">
            <w:pPr>
              <w:pStyle w:val="MDPI31text"/>
              <w:ind w:left="0" w:firstLine="0"/>
              <w:rPr>
                <w:color w:val="auto"/>
              </w:rPr>
            </w:pPr>
            <w:r w:rsidRPr="00162B16">
              <w:rPr>
                <w:color w:val="auto"/>
              </w:rPr>
              <w:t>0.41</w:t>
            </w:r>
          </w:p>
        </w:tc>
      </w:tr>
      <w:tr w:rsidR="00162B16" w:rsidRPr="00162B16" w14:paraId="702DA072" w14:textId="77777777" w:rsidTr="0002463C">
        <w:tc>
          <w:tcPr>
            <w:tcW w:w="0" w:type="auto"/>
            <w:vMerge/>
          </w:tcPr>
          <w:p w14:paraId="4547BB05" w14:textId="77777777" w:rsidR="00C27632" w:rsidRPr="00162B16" w:rsidRDefault="00C27632" w:rsidP="00C27632">
            <w:pPr>
              <w:pStyle w:val="MDPI31text"/>
              <w:ind w:left="0" w:firstLine="0"/>
              <w:rPr>
                <w:color w:val="auto"/>
              </w:rPr>
            </w:pPr>
          </w:p>
        </w:tc>
        <w:tc>
          <w:tcPr>
            <w:tcW w:w="0" w:type="auto"/>
          </w:tcPr>
          <w:p w14:paraId="24574547" w14:textId="663CCB14" w:rsidR="00C27632" w:rsidRPr="00162B16" w:rsidRDefault="00C27632" w:rsidP="00C27632">
            <w:pPr>
              <w:pStyle w:val="MDPI31text"/>
              <w:ind w:left="0" w:firstLine="0"/>
              <w:rPr>
                <w:color w:val="auto"/>
              </w:rPr>
            </w:pPr>
            <w:r w:rsidRPr="00162B16">
              <w:rPr>
                <w:color w:val="auto"/>
              </w:rPr>
              <w:t>Very Bad</w:t>
            </w:r>
          </w:p>
        </w:tc>
        <w:tc>
          <w:tcPr>
            <w:tcW w:w="0" w:type="auto"/>
          </w:tcPr>
          <w:p w14:paraId="430975C2" w14:textId="77777777" w:rsidR="00C27632" w:rsidRPr="00162B16" w:rsidRDefault="00C27632" w:rsidP="00C27632">
            <w:pPr>
              <w:pStyle w:val="MDPI31text"/>
              <w:ind w:left="0" w:firstLine="0"/>
              <w:rPr>
                <w:color w:val="auto"/>
              </w:rPr>
            </w:pPr>
          </w:p>
        </w:tc>
        <w:tc>
          <w:tcPr>
            <w:tcW w:w="0" w:type="auto"/>
          </w:tcPr>
          <w:p w14:paraId="5CF75975" w14:textId="77777777" w:rsidR="00C27632" w:rsidRPr="00162B16" w:rsidRDefault="00C27632" w:rsidP="00C27632">
            <w:pPr>
              <w:pStyle w:val="MDPI31text"/>
              <w:ind w:left="0" w:firstLine="0"/>
              <w:rPr>
                <w:color w:val="auto"/>
              </w:rPr>
            </w:pPr>
          </w:p>
        </w:tc>
        <w:tc>
          <w:tcPr>
            <w:tcW w:w="0" w:type="auto"/>
          </w:tcPr>
          <w:p w14:paraId="182FD05F" w14:textId="77777777" w:rsidR="00C27632" w:rsidRPr="00162B16" w:rsidRDefault="00C27632" w:rsidP="00C27632">
            <w:pPr>
              <w:pStyle w:val="MDPI31text"/>
              <w:ind w:left="0" w:firstLine="0"/>
              <w:rPr>
                <w:color w:val="auto"/>
              </w:rPr>
            </w:pPr>
          </w:p>
        </w:tc>
        <w:tc>
          <w:tcPr>
            <w:tcW w:w="0" w:type="auto"/>
          </w:tcPr>
          <w:p w14:paraId="7D599171" w14:textId="77777777" w:rsidR="00C27632" w:rsidRPr="00162B16" w:rsidRDefault="00C27632" w:rsidP="00C27632">
            <w:pPr>
              <w:pStyle w:val="MDPI31text"/>
              <w:ind w:left="0" w:firstLine="0"/>
              <w:rPr>
                <w:color w:val="auto"/>
              </w:rPr>
            </w:pPr>
          </w:p>
        </w:tc>
      </w:tr>
      <w:tr w:rsidR="00162B16" w:rsidRPr="00162B16" w14:paraId="023F0CDB" w14:textId="77777777" w:rsidTr="0002463C">
        <w:tc>
          <w:tcPr>
            <w:tcW w:w="0" w:type="auto"/>
          </w:tcPr>
          <w:p w14:paraId="55A8AA1F" w14:textId="77777777" w:rsidR="00C27632" w:rsidRPr="00162B16" w:rsidRDefault="00C27632" w:rsidP="00C27632">
            <w:pPr>
              <w:pStyle w:val="MDPI31text"/>
              <w:ind w:left="0" w:firstLine="0"/>
              <w:rPr>
                <w:color w:val="auto"/>
              </w:rPr>
            </w:pPr>
          </w:p>
        </w:tc>
        <w:tc>
          <w:tcPr>
            <w:tcW w:w="0" w:type="auto"/>
          </w:tcPr>
          <w:p w14:paraId="6CDFA564" w14:textId="6BDE9936" w:rsidR="00C27632" w:rsidRPr="00162B16" w:rsidRDefault="00C27632" w:rsidP="00C27632">
            <w:pPr>
              <w:pStyle w:val="MDPI31text"/>
              <w:ind w:left="0" w:firstLine="0"/>
              <w:rPr>
                <w:color w:val="auto"/>
              </w:rPr>
            </w:pPr>
          </w:p>
        </w:tc>
        <w:tc>
          <w:tcPr>
            <w:tcW w:w="0" w:type="auto"/>
          </w:tcPr>
          <w:p w14:paraId="5AD8D58D" w14:textId="77777777" w:rsidR="00C27632" w:rsidRPr="00162B16" w:rsidRDefault="00C27632" w:rsidP="00C27632">
            <w:pPr>
              <w:pStyle w:val="MDPI31text"/>
              <w:ind w:left="0" w:firstLine="0"/>
              <w:rPr>
                <w:color w:val="auto"/>
              </w:rPr>
            </w:pPr>
          </w:p>
        </w:tc>
        <w:tc>
          <w:tcPr>
            <w:tcW w:w="0" w:type="auto"/>
          </w:tcPr>
          <w:p w14:paraId="4B857589" w14:textId="77777777" w:rsidR="00C27632" w:rsidRPr="00162B16" w:rsidRDefault="00C27632" w:rsidP="00C27632">
            <w:pPr>
              <w:pStyle w:val="MDPI31text"/>
              <w:ind w:left="0" w:firstLine="0"/>
              <w:rPr>
                <w:color w:val="auto"/>
              </w:rPr>
            </w:pPr>
          </w:p>
        </w:tc>
        <w:tc>
          <w:tcPr>
            <w:tcW w:w="0" w:type="auto"/>
          </w:tcPr>
          <w:p w14:paraId="59FAF783" w14:textId="77777777" w:rsidR="00C27632" w:rsidRPr="00162B16" w:rsidRDefault="00C27632" w:rsidP="00C27632">
            <w:pPr>
              <w:pStyle w:val="MDPI31text"/>
              <w:ind w:left="0" w:firstLine="0"/>
              <w:rPr>
                <w:color w:val="auto"/>
              </w:rPr>
            </w:pPr>
          </w:p>
        </w:tc>
        <w:tc>
          <w:tcPr>
            <w:tcW w:w="0" w:type="auto"/>
          </w:tcPr>
          <w:p w14:paraId="0BF64844" w14:textId="77777777" w:rsidR="00C27632" w:rsidRPr="00162B16" w:rsidRDefault="00C27632" w:rsidP="00C27632">
            <w:pPr>
              <w:pStyle w:val="MDPI31text"/>
              <w:ind w:left="0" w:firstLine="0"/>
              <w:rPr>
                <w:color w:val="auto"/>
              </w:rPr>
            </w:pPr>
          </w:p>
        </w:tc>
      </w:tr>
      <w:tr w:rsidR="00162B16" w:rsidRPr="00162B16" w14:paraId="06945592" w14:textId="77777777" w:rsidTr="0002463C">
        <w:tc>
          <w:tcPr>
            <w:tcW w:w="0" w:type="auto"/>
          </w:tcPr>
          <w:p w14:paraId="0C1C67EC" w14:textId="231815D0" w:rsidR="0002463C" w:rsidRPr="00162B16" w:rsidRDefault="0002463C" w:rsidP="00C27632">
            <w:pPr>
              <w:pStyle w:val="MDPI31text"/>
              <w:ind w:left="0" w:firstLine="0"/>
              <w:rPr>
                <w:color w:val="auto"/>
              </w:rPr>
            </w:pPr>
            <w:r w:rsidRPr="00162B16">
              <w:rPr>
                <w:color w:val="auto"/>
              </w:rPr>
              <w:t>Education</w:t>
            </w:r>
          </w:p>
        </w:tc>
        <w:tc>
          <w:tcPr>
            <w:tcW w:w="0" w:type="auto"/>
          </w:tcPr>
          <w:p w14:paraId="38CB9217" w14:textId="5E19829C" w:rsidR="0002463C" w:rsidRPr="00162B16" w:rsidRDefault="0002463C" w:rsidP="00C27632">
            <w:pPr>
              <w:pStyle w:val="MDPI31text"/>
              <w:ind w:left="0" w:firstLine="0"/>
              <w:rPr>
                <w:color w:val="auto"/>
              </w:rPr>
            </w:pPr>
            <w:r w:rsidRPr="00162B16">
              <w:rPr>
                <w:color w:val="auto"/>
              </w:rPr>
              <w:t>No school</w:t>
            </w:r>
          </w:p>
        </w:tc>
        <w:tc>
          <w:tcPr>
            <w:tcW w:w="0" w:type="auto"/>
          </w:tcPr>
          <w:p w14:paraId="74B04F86" w14:textId="231266CC" w:rsidR="0002463C" w:rsidRPr="00162B16" w:rsidRDefault="0002463C" w:rsidP="00C27632">
            <w:pPr>
              <w:pStyle w:val="MDPI31text"/>
              <w:ind w:left="0" w:firstLine="0"/>
              <w:rPr>
                <w:color w:val="auto"/>
              </w:rPr>
            </w:pPr>
            <w:r w:rsidRPr="00162B16">
              <w:rPr>
                <w:color w:val="auto"/>
              </w:rPr>
              <w:t>0.12</w:t>
            </w:r>
          </w:p>
        </w:tc>
        <w:tc>
          <w:tcPr>
            <w:tcW w:w="0" w:type="auto"/>
          </w:tcPr>
          <w:p w14:paraId="2AE7B959" w14:textId="317AD118" w:rsidR="0002463C" w:rsidRPr="00162B16" w:rsidRDefault="0002463C" w:rsidP="00C27632">
            <w:pPr>
              <w:pStyle w:val="MDPI31text"/>
              <w:ind w:left="0" w:firstLine="0"/>
              <w:rPr>
                <w:color w:val="auto"/>
              </w:rPr>
            </w:pPr>
            <w:r w:rsidRPr="00162B16">
              <w:rPr>
                <w:color w:val="auto"/>
              </w:rPr>
              <w:t>0.29</w:t>
            </w:r>
          </w:p>
        </w:tc>
        <w:tc>
          <w:tcPr>
            <w:tcW w:w="0" w:type="auto"/>
          </w:tcPr>
          <w:p w14:paraId="16BE53F1" w14:textId="04858454" w:rsidR="0002463C" w:rsidRPr="00162B16" w:rsidRDefault="0002463C" w:rsidP="00C27632">
            <w:pPr>
              <w:pStyle w:val="MDPI31text"/>
              <w:ind w:left="0" w:firstLine="0"/>
              <w:rPr>
                <w:color w:val="auto"/>
              </w:rPr>
            </w:pPr>
            <w:r w:rsidRPr="00162B16">
              <w:rPr>
                <w:color w:val="auto"/>
              </w:rPr>
              <w:t>-0.66 – 0.90</w:t>
            </w:r>
          </w:p>
        </w:tc>
        <w:tc>
          <w:tcPr>
            <w:tcW w:w="0" w:type="auto"/>
          </w:tcPr>
          <w:p w14:paraId="1EA6F867" w14:textId="12970E7A" w:rsidR="0002463C" w:rsidRPr="00162B16" w:rsidRDefault="0002463C" w:rsidP="00C27632">
            <w:pPr>
              <w:pStyle w:val="MDPI31text"/>
              <w:ind w:left="0" w:firstLine="0"/>
              <w:rPr>
                <w:color w:val="auto"/>
              </w:rPr>
            </w:pPr>
            <w:r w:rsidRPr="00162B16">
              <w:rPr>
                <w:color w:val="auto"/>
              </w:rPr>
              <w:t>0.77</w:t>
            </w:r>
          </w:p>
        </w:tc>
      </w:tr>
      <w:tr w:rsidR="00162B16" w:rsidRPr="00162B16" w14:paraId="2C1F3B07" w14:textId="77777777" w:rsidTr="0002463C">
        <w:tc>
          <w:tcPr>
            <w:tcW w:w="0" w:type="auto"/>
          </w:tcPr>
          <w:p w14:paraId="6DF0F6FB" w14:textId="77777777" w:rsidR="0002463C" w:rsidRPr="00162B16" w:rsidRDefault="0002463C" w:rsidP="0002463C">
            <w:pPr>
              <w:pStyle w:val="MDPI31text"/>
              <w:ind w:left="0" w:firstLine="0"/>
              <w:rPr>
                <w:color w:val="auto"/>
              </w:rPr>
            </w:pPr>
          </w:p>
        </w:tc>
        <w:tc>
          <w:tcPr>
            <w:tcW w:w="0" w:type="auto"/>
          </w:tcPr>
          <w:p w14:paraId="503FFB63" w14:textId="42CC56A6" w:rsidR="0002463C" w:rsidRPr="00162B16" w:rsidRDefault="0002463C" w:rsidP="0002463C">
            <w:pPr>
              <w:pStyle w:val="MDPI31text"/>
              <w:ind w:left="0" w:firstLine="0"/>
              <w:rPr>
                <w:color w:val="auto"/>
              </w:rPr>
            </w:pPr>
            <w:r w:rsidRPr="00162B16">
              <w:rPr>
                <w:color w:val="auto"/>
              </w:rPr>
              <w:t>Primary</w:t>
            </w:r>
          </w:p>
        </w:tc>
        <w:tc>
          <w:tcPr>
            <w:tcW w:w="0" w:type="auto"/>
          </w:tcPr>
          <w:p w14:paraId="419BD6B6" w14:textId="79046A61" w:rsidR="0002463C" w:rsidRPr="00162B16" w:rsidRDefault="0002463C" w:rsidP="0002463C">
            <w:pPr>
              <w:pStyle w:val="MDPI31text"/>
              <w:ind w:left="0" w:firstLine="0"/>
              <w:rPr>
                <w:color w:val="auto"/>
              </w:rPr>
            </w:pPr>
            <w:r w:rsidRPr="00162B16">
              <w:rPr>
                <w:color w:val="auto"/>
              </w:rPr>
              <w:t>0.14</w:t>
            </w:r>
          </w:p>
        </w:tc>
        <w:tc>
          <w:tcPr>
            <w:tcW w:w="0" w:type="auto"/>
          </w:tcPr>
          <w:p w14:paraId="1288E47A" w14:textId="1A355CC9" w:rsidR="0002463C" w:rsidRPr="00162B16" w:rsidRDefault="0002463C" w:rsidP="0002463C">
            <w:pPr>
              <w:pStyle w:val="MDPI31text"/>
              <w:ind w:left="0" w:firstLine="0"/>
              <w:rPr>
                <w:color w:val="auto"/>
              </w:rPr>
            </w:pPr>
            <w:r w:rsidRPr="00162B16">
              <w:rPr>
                <w:color w:val="auto"/>
              </w:rPr>
              <w:t>0.35</w:t>
            </w:r>
          </w:p>
        </w:tc>
        <w:tc>
          <w:tcPr>
            <w:tcW w:w="0" w:type="auto"/>
          </w:tcPr>
          <w:p w14:paraId="28B1E66D" w14:textId="602E2CC2" w:rsidR="0002463C" w:rsidRPr="00162B16" w:rsidRDefault="0002463C" w:rsidP="0002463C">
            <w:pPr>
              <w:pStyle w:val="MDPI31text"/>
              <w:ind w:left="0" w:firstLine="0"/>
              <w:rPr>
                <w:color w:val="auto"/>
              </w:rPr>
            </w:pPr>
            <w:r w:rsidRPr="00162B16">
              <w:rPr>
                <w:color w:val="auto"/>
              </w:rPr>
              <w:t>-0.63 - 0.90</w:t>
            </w:r>
          </w:p>
        </w:tc>
        <w:tc>
          <w:tcPr>
            <w:tcW w:w="0" w:type="auto"/>
          </w:tcPr>
          <w:p w14:paraId="4BE1AFB9" w14:textId="7A32B99E" w:rsidR="0002463C" w:rsidRPr="00162B16" w:rsidRDefault="0002463C" w:rsidP="0002463C">
            <w:pPr>
              <w:pStyle w:val="MDPI31text"/>
              <w:ind w:left="0" w:firstLine="0"/>
              <w:rPr>
                <w:color w:val="auto"/>
              </w:rPr>
            </w:pPr>
            <w:r w:rsidRPr="00162B16">
              <w:rPr>
                <w:color w:val="auto"/>
              </w:rPr>
              <w:t>0.72</w:t>
            </w:r>
          </w:p>
        </w:tc>
      </w:tr>
      <w:tr w:rsidR="00162B16" w:rsidRPr="00162B16" w14:paraId="7D20581F" w14:textId="77777777" w:rsidTr="0002463C">
        <w:tc>
          <w:tcPr>
            <w:tcW w:w="0" w:type="auto"/>
          </w:tcPr>
          <w:p w14:paraId="00D71DBB" w14:textId="77777777" w:rsidR="0002463C" w:rsidRPr="00162B16" w:rsidRDefault="0002463C" w:rsidP="0002463C">
            <w:pPr>
              <w:pStyle w:val="MDPI31text"/>
              <w:ind w:left="0" w:firstLine="0"/>
              <w:rPr>
                <w:color w:val="auto"/>
              </w:rPr>
            </w:pPr>
          </w:p>
        </w:tc>
        <w:tc>
          <w:tcPr>
            <w:tcW w:w="0" w:type="auto"/>
          </w:tcPr>
          <w:p w14:paraId="579C481A" w14:textId="34250508" w:rsidR="0002463C" w:rsidRPr="00162B16" w:rsidRDefault="0002463C" w:rsidP="0002463C">
            <w:pPr>
              <w:pStyle w:val="MDPI31text"/>
              <w:ind w:left="0" w:firstLine="0"/>
              <w:rPr>
                <w:color w:val="auto"/>
              </w:rPr>
            </w:pPr>
            <w:r w:rsidRPr="00162B16">
              <w:rPr>
                <w:color w:val="auto"/>
              </w:rPr>
              <w:t>Secondary</w:t>
            </w:r>
          </w:p>
        </w:tc>
        <w:tc>
          <w:tcPr>
            <w:tcW w:w="0" w:type="auto"/>
          </w:tcPr>
          <w:p w14:paraId="2186FDFE" w14:textId="575DB690" w:rsidR="0002463C" w:rsidRPr="00162B16" w:rsidRDefault="0002463C" w:rsidP="0002463C">
            <w:pPr>
              <w:pStyle w:val="MDPI31text"/>
              <w:ind w:left="0" w:firstLine="0"/>
              <w:rPr>
                <w:color w:val="auto"/>
              </w:rPr>
            </w:pPr>
            <w:r w:rsidRPr="00162B16">
              <w:rPr>
                <w:color w:val="auto"/>
              </w:rPr>
              <w:t>0.12</w:t>
            </w:r>
          </w:p>
        </w:tc>
        <w:tc>
          <w:tcPr>
            <w:tcW w:w="0" w:type="auto"/>
          </w:tcPr>
          <w:p w14:paraId="52CAB178" w14:textId="098551F5" w:rsidR="0002463C" w:rsidRPr="00162B16" w:rsidRDefault="0002463C" w:rsidP="0002463C">
            <w:pPr>
              <w:pStyle w:val="MDPI31text"/>
              <w:ind w:left="0" w:firstLine="0"/>
              <w:rPr>
                <w:color w:val="auto"/>
              </w:rPr>
            </w:pPr>
            <w:r w:rsidRPr="00162B16">
              <w:rPr>
                <w:color w:val="auto"/>
              </w:rPr>
              <w:t>0.31</w:t>
            </w:r>
          </w:p>
        </w:tc>
        <w:tc>
          <w:tcPr>
            <w:tcW w:w="0" w:type="auto"/>
          </w:tcPr>
          <w:p w14:paraId="45072B46" w14:textId="0FA44614" w:rsidR="0002463C" w:rsidRPr="00162B16" w:rsidRDefault="0002463C" w:rsidP="0002463C">
            <w:pPr>
              <w:pStyle w:val="MDPI31text"/>
              <w:ind w:left="0" w:firstLine="0"/>
              <w:rPr>
                <w:color w:val="auto"/>
              </w:rPr>
            </w:pPr>
            <w:r w:rsidRPr="00162B16">
              <w:rPr>
                <w:color w:val="auto"/>
              </w:rPr>
              <w:t>-0.63 – 0.88</w:t>
            </w:r>
          </w:p>
        </w:tc>
        <w:tc>
          <w:tcPr>
            <w:tcW w:w="0" w:type="auto"/>
          </w:tcPr>
          <w:p w14:paraId="3F13FEBC" w14:textId="499D07C3" w:rsidR="0002463C" w:rsidRPr="00162B16" w:rsidRDefault="0002463C" w:rsidP="0002463C">
            <w:pPr>
              <w:pStyle w:val="MDPI31text"/>
              <w:ind w:left="0" w:firstLine="0"/>
              <w:rPr>
                <w:color w:val="auto"/>
              </w:rPr>
            </w:pPr>
            <w:r w:rsidRPr="00162B16">
              <w:rPr>
                <w:color w:val="auto"/>
              </w:rPr>
              <w:t>0.75</w:t>
            </w:r>
          </w:p>
        </w:tc>
      </w:tr>
      <w:tr w:rsidR="00162B16" w:rsidRPr="00162B16" w14:paraId="2A743CAE" w14:textId="77777777" w:rsidTr="0002463C">
        <w:tc>
          <w:tcPr>
            <w:tcW w:w="0" w:type="auto"/>
          </w:tcPr>
          <w:p w14:paraId="5CE197B1" w14:textId="77777777" w:rsidR="0002463C" w:rsidRPr="00162B16" w:rsidRDefault="0002463C" w:rsidP="0002463C">
            <w:pPr>
              <w:pStyle w:val="MDPI31text"/>
              <w:ind w:left="0" w:firstLine="0"/>
              <w:rPr>
                <w:color w:val="auto"/>
              </w:rPr>
            </w:pPr>
          </w:p>
        </w:tc>
        <w:tc>
          <w:tcPr>
            <w:tcW w:w="0" w:type="auto"/>
          </w:tcPr>
          <w:p w14:paraId="55855A02" w14:textId="54F2B712" w:rsidR="0002463C" w:rsidRPr="00162B16" w:rsidRDefault="0002463C" w:rsidP="0002463C">
            <w:pPr>
              <w:pStyle w:val="MDPI31text"/>
              <w:ind w:left="0" w:firstLine="0"/>
              <w:rPr>
                <w:color w:val="auto"/>
              </w:rPr>
            </w:pPr>
            <w:r w:rsidRPr="00162B16">
              <w:rPr>
                <w:color w:val="auto"/>
              </w:rPr>
              <w:t>Tertiary</w:t>
            </w:r>
          </w:p>
        </w:tc>
        <w:tc>
          <w:tcPr>
            <w:tcW w:w="0" w:type="auto"/>
          </w:tcPr>
          <w:p w14:paraId="77DAF077" w14:textId="321E2234" w:rsidR="0002463C" w:rsidRPr="00162B16" w:rsidRDefault="0002463C" w:rsidP="0002463C">
            <w:pPr>
              <w:pStyle w:val="MDPI31text"/>
              <w:ind w:left="0" w:firstLine="0"/>
              <w:rPr>
                <w:color w:val="auto"/>
              </w:rPr>
            </w:pPr>
            <w:r w:rsidRPr="00162B16">
              <w:rPr>
                <w:color w:val="auto"/>
              </w:rPr>
              <w:t>0.15</w:t>
            </w:r>
          </w:p>
        </w:tc>
        <w:tc>
          <w:tcPr>
            <w:tcW w:w="0" w:type="auto"/>
          </w:tcPr>
          <w:p w14:paraId="2547FB18" w14:textId="18308172" w:rsidR="0002463C" w:rsidRPr="00162B16" w:rsidRDefault="0002463C" w:rsidP="0002463C">
            <w:pPr>
              <w:pStyle w:val="MDPI31text"/>
              <w:ind w:left="0" w:firstLine="0"/>
              <w:rPr>
                <w:color w:val="auto"/>
              </w:rPr>
            </w:pPr>
            <w:r w:rsidRPr="00162B16">
              <w:rPr>
                <w:color w:val="auto"/>
              </w:rPr>
              <w:t>0.37</w:t>
            </w:r>
          </w:p>
        </w:tc>
        <w:tc>
          <w:tcPr>
            <w:tcW w:w="0" w:type="auto"/>
          </w:tcPr>
          <w:p w14:paraId="557896EB" w14:textId="27F65AEC" w:rsidR="0002463C" w:rsidRPr="00162B16" w:rsidRDefault="0002463C" w:rsidP="0002463C">
            <w:pPr>
              <w:pStyle w:val="MDPI31text"/>
              <w:ind w:left="0" w:firstLine="0"/>
              <w:rPr>
                <w:color w:val="auto"/>
              </w:rPr>
            </w:pPr>
            <w:r w:rsidRPr="00162B16">
              <w:rPr>
                <w:color w:val="auto"/>
              </w:rPr>
              <w:t>-0.62 – 0.91</w:t>
            </w:r>
          </w:p>
        </w:tc>
        <w:tc>
          <w:tcPr>
            <w:tcW w:w="0" w:type="auto"/>
          </w:tcPr>
          <w:p w14:paraId="0E428EFD" w14:textId="4BCC3EC3" w:rsidR="0002463C" w:rsidRPr="00162B16" w:rsidRDefault="0002463C" w:rsidP="0002463C">
            <w:pPr>
              <w:pStyle w:val="MDPI31text"/>
              <w:ind w:left="0" w:firstLine="0"/>
              <w:rPr>
                <w:color w:val="auto"/>
              </w:rPr>
            </w:pPr>
            <w:r w:rsidRPr="00162B16">
              <w:rPr>
                <w:color w:val="auto"/>
              </w:rPr>
              <w:t>0.71</w:t>
            </w:r>
          </w:p>
        </w:tc>
      </w:tr>
      <w:tr w:rsidR="00162B16" w:rsidRPr="00162B16" w14:paraId="196BB3FF" w14:textId="77777777" w:rsidTr="0002463C">
        <w:tc>
          <w:tcPr>
            <w:tcW w:w="0" w:type="auto"/>
          </w:tcPr>
          <w:p w14:paraId="48489E9A" w14:textId="77777777" w:rsidR="0002463C" w:rsidRPr="00162B16" w:rsidRDefault="0002463C" w:rsidP="0002463C">
            <w:pPr>
              <w:pStyle w:val="MDPI31text"/>
              <w:ind w:left="0" w:firstLine="0"/>
              <w:rPr>
                <w:color w:val="auto"/>
              </w:rPr>
            </w:pPr>
          </w:p>
        </w:tc>
        <w:tc>
          <w:tcPr>
            <w:tcW w:w="0" w:type="auto"/>
          </w:tcPr>
          <w:p w14:paraId="24F9470C" w14:textId="67B9946E" w:rsidR="0002463C" w:rsidRPr="00162B16" w:rsidRDefault="0002463C" w:rsidP="0002463C">
            <w:pPr>
              <w:pStyle w:val="MDPI31text"/>
              <w:ind w:left="0" w:firstLine="0"/>
              <w:rPr>
                <w:color w:val="auto"/>
              </w:rPr>
            </w:pPr>
            <w:r w:rsidRPr="00162B16">
              <w:rPr>
                <w:color w:val="auto"/>
              </w:rPr>
              <w:t>Special schools</w:t>
            </w:r>
          </w:p>
        </w:tc>
        <w:tc>
          <w:tcPr>
            <w:tcW w:w="0" w:type="auto"/>
          </w:tcPr>
          <w:p w14:paraId="0A276DAE" w14:textId="77777777" w:rsidR="0002463C" w:rsidRPr="00162B16" w:rsidRDefault="0002463C" w:rsidP="0002463C">
            <w:pPr>
              <w:pStyle w:val="MDPI31text"/>
              <w:ind w:left="0" w:firstLine="0"/>
              <w:rPr>
                <w:color w:val="auto"/>
              </w:rPr>
            </w:pPr>
          </w:p>
        </w:tc>
        <w:tc>
          <w:tcPr>
            <w:tcW w:w="0" w:type="auto"/>
          </w:tcPr>
          <w:p w14:paraId="25A76948" w14:textId="77777777" w:rsidR="0002463C" w:rsidRPr="00162B16" w:rsidRDefault="0002463C" w:rsidP="0002463C">
            <w:pPr>
              <w:pStyle w:val="MDPI31text"/>
              <w:ind w:left="0" w:firstLine="0"/>
              <w:rPr>
                <w:color w:val="auto"/>
              </w:rPr>
            </w:pPr>
          </w:p>
        </w:tc>
        <w:tc>
          <w:tcPr>
            <w:tcW w:w="0" w:type="auto"/>
          </w:tcPr>
          <w:p w14:paraId="227EA40F" w14:textId="77777777" w:rsidR="0002463C" w:rsidRPr="00162B16" w:rsidRDefault="0002463C" w:rsidP="0002463C">
            <w:pPr>
              <w:pStyle w:val="MDPI31text"/>
              <w:ind w:left="0" w:firstLine="0"/>
              <w:rPr>
                <w:color w:val="auto"/>
              </w:rPr>
            </w:pPr>
          </w:p>
        </w:tc>
        <w:tc>
          <w:tcPr>
            <w:tcW w:w="0" w:type="auto"/>
          </w:tcPr>
          <w:p w14:paraId="6F689010" w14:textId="77777777" w:rsidR="0002463C" w:rsidRPr="00162B16" w:rsidRDefault="0002463C" w:rsidP="0002463C">
            <w:pPr>
              <w:pStyle w:val="MDPI31text"/>
              <w:ind w:left="0" w:firstLine="0"/>
              <w:rPr>
                <w:color w:val="auto"/>
              </w:rPr>
            </w:pPr>
          </w:p>
        </w:tc>
      </w:tr>
      <w:tr w:rsidR="00162B16" w:rsidRPr="00162B16" w14:paraId="1CE23EA7" w14:textId="77777777" w:rsidTr="0002463C">
        <w:tc>
          <w:tcPr>
            <w:tcW w:w="0" w:type="auto"/>
          </w:tcPr>
          <w:p w14:paraId="37007C85" w14:textId="77777777" w:rsidR="0002463C" w:rsidRPr="00162B16" w:rsidRDefault="0002463C" w:rsidP="0002463C">
            <w:pPr>
              <w:pStyle w:val="MDPI31text"/>
              <w:ind w:left="0" w:firstLine="0"/>
              <w:rPr>
                <w:color w:val="auto"/>
              </w:rPr>
            </w:pPr>
          </w:p>
        </w:tc>
        <w:tc>
          <w:tcPr>
            <w:tcW w:w="0" w:type="auto"/>
          </w:tcPr>
          <w:p w14:paraId="28B5BB6E" w14:textId="77777777" w:rsidR="0002463C" w:rsidRPr="00162B16" w:rsidRDefault="0002463C" w:rsidP="0002463C">
            <w:pPr>
              <w:pStyle w:val="MDPI31text"/>
              <w:ind w:left="0" w:firstLine="0"/>
              <w:rPr>
                <w:color w:val="auto"/>
              </w:rPr>
            </w:pPr>
          </w:p>
        </w:tc>
        <w:tc>
          <w:tcPr>
            <w:tcW w:w="0" w:type="auto"/>
          </w:tcPr>
          <w:p w14:paraId="5EE43EE1" w14:textId="77777777" w:rsidR="0002463C" w:rsidRPr="00162B16" w:rsidRDefault="0002463C" w:rsidP="0002463C">
            <w:pPr>
              <w:pStyle w:val="MDPI31text"/>
              <w:ind w:left="0" w:firstLine="0"/>
              <w:rPr>
                <w:color w:val="auto"/>
              </w:rPr>
            </w:pPr>
          </w:p>
        </w:tc>
        <w:tc>
          <w:tcPr>
            <w:tcW w:w="0" w:type="auto"/>
          </w:tcPr>
          <w:p w14:paraId="754D285C" w14:textId="77777777" w:rsidR="0002463C" w:rsidRPr="00162B16" w:rsidRDefault="0002463C" w:rsidP="0002463C">
            <w:pPr>
              <w:pStyle w:val="MDPI31text"/>
              <w:ind w:left="0" w:firstLine="0"/>
              <w:rPr>
                <w:color w:val="auto"/>
              </w:rPr>
            </w:pPr>
          </w:p>
        </w:tc>
        <w:tc>
          <w:tcPr>
            <w:tcW w:w="0" w:type="auto"/>
          </w:tcPr>
          <w:p w14:paraId="2C123D78" w14:textId="77777777" w:rsidR="0002463C" w:rsidRPr="00162B16" w:rsidRDefault="0002463C" w:rsidP="0002463C">
            <w:pPr>
              <w:pStyle w:val="MDPI31text"/>
              <w:ind w:left="0" w:firstLine="0"/>
              <w:rPr>
                <w:color w:val="auto"/>
              </w:rPr>
            </w:pPr>
          </w:p>
        </w:tc>
        <w:tc>
          <w:tcPr>
            <w:tcW w:w="0" w:type="auto"/>
          </w:tcPr>
          <w:p w14:paraId="52CCFBBC" w14:textId="77777777" w:rsidR="0002463C" w:rsidRPr="00162B16" w:rsidRDefault="0002463C" w:rsidP="0002463C">
            <w:pPr>
              <w:pStyle w:val="MDPI31text"/>
              <w:ind w:left="0" w:firstLine="0"/>
              <w:rPr>
                <w:color w:val="auto"/>
              </w:rPr>
            </w:pPr>
          </w:p>
        </w:tc>
      </w:tr>
      <w:tr w:rsidR="00162B16" w:rsidRPr="00162B16" w14:paraId="702B2D25" w14:textId="77777777" w:rsidTr="0002463C">
        <w:tc>
          <w:tcPr>
            <w:tcW w:w="0" w:type="auto"/>
            <w:vMerge w:val="restart"/>
          </w:tcPr>
          <w:p w14:paraId="2E8A60F7" w14:textId="0F674618" w:rsidR="0002463C" w:rsidRPr="00162B16" w:rsidRDefault="0002463C" w:rsidP="0002463C">
            <w:pPr>
              <w:pStyle w:val="MDPI31text"/>
              <w:ind w:left="0" w:firstLine="0"/>
              <w:rPr>
                <w:color w:val="auto"/>
              </w:rPr>
            </w:pPr>
            <w:r w:rsidRPr="00162B16">
              <w:rPr>
                <w:color w:val="auto"/>
              </w:rPr>
              <w:t>Longstanding health problem</w:t>
            </w:r>
          </w:p>
        </w:tc>
        <w:tc>
          <w:tcPr>
            <w:tcW w:w="0" w:type="auto"/>
          </w:tcPr>
          <w:p w14:paraId="0DB6A479" w14:textId="4007A379" w:rsidR="0002463C" w:rsidRPr="00162B16" w:rsidRDefault="0002463C" w:rsidP="0002463C">
            <w:pPr>
              <w:pStyle w:val="MDPI31text"/>
              <w:ind w:left="0" w:firstLine="0"/>
              <w:rPr>
                <w:color w:val="auto"/>
              </w:rPr>
            </w:pPr>
            <w:r w:rsidRPr="00162B16">
              <w:rPr>
                <w:color w:val="auto"/>
              </w:rPr>
              <w:t>Yes</w:t>
            </w:r>
          </w:p>
        </w:tc>
        <w:tc>
          <w:tcPr>
            <w:tcW w:w="0" w:type="auto"/>
          </w:tcPr>
          <w:p w14:paraId="32D06709" w14:textId="0AC7FC73" w:rsidR="0002463C" w:rsidRPr="00162B16" w:rsidRDefault="0002463C" w:rsidP="0002463C">
            <w:pPr>
              <w:pStyle w:val="MDPI31text"/>
              <w:ind w:left="0" w:firstLine="0"/>
              <w:rPr>
                <w:color w:val="auto"/>
              </w:rPr>
            </w:pPr>
            <w:r w:rsidRPr="00162B16">
              <w:rPr>
                <w:color w:val="auto"/>
              </w:rPr>
              <w:t>-0.05</w:t>
            </w:r>
          </w:p>
        </w:tc>
        <w:tc>
          <w:tcPr>
            <w:tcW w:w="0" w:type="auto"/>
          </w:tcPr>
          <w:p w14:paraId="000D9D24" w14:textId="09D88639" w:rsidR="0002463C" w:rsidRPr="00162B16" w:rsidRDefault="0002463C" w:rsidP="0002463C">
            <w:pPr>
              <w:pStyle w:val="MDPI31text"/>
              <w:ind w:left="0" w:firstLine="0"/>
              <w:rPr>
                <w:color w:val="auto"/>
              </w:rPr>
            </w:pPr>
            <w:r w:rsidRPr="00162B16">
              <w:rPr>
                <w:color w:val="auto"/>
              </w:rPr>
              <w:t>-1.99</w:t>
            </w:r>
          </w:p>
        </w:tc>
        <w:tc>
          <w:tcPr>
            <w:tcW w:w="0" w:type="auto"/>
          </w:tcPr>
          <w:p w14:paraId="25520B87" w14:textId="29E29266" w:rsidR="0002463C" w:rsidRPr="00162B16" w:rsidRDefault="0002463C" w:rsidP="0002463C">
            <w:pPr>
              <w:pStyle w:val="MDPI31text"/>
              <w:ind w:left="0" w:firstLine="0"/>
              <w:rPr>
                <w:color w:val="auto"/>
              </w:rPr>
            </w:pPr>
            <w:r w:rsidRPr="00162B16">
              <w:rPr>
                <w:color w:val="auto"/>
              </w:rPr>
              <w:t>-0.09 - -0.001</w:t>
            </w:r>
          </w:p>
        </w:tc>
        <w:tc>
          <w:tcPr>
            <w:tcW w:w="0" w:type="auto"/>
          </w:tcPr>
          <w:p w14:paraId="5790FC48" w14:textId="2F1B15C8" w:rsidR="0002463C" w:rsidRPr="00162B16" w:rsidRDefault="0002463C" w:rsidP="0002463C">
            <w:pPr>
              <w:pStyle w:val="MDPI31text"/>
              <w:ind w:left="0" w:firstLine="0"/>
              <w:rPr>
                <w:color w:val="auto"/>
              </w:rPr>
            </w:pPr>
            <w:r w:rsidRPr="00162B16">
              <w:rPr>
                <w:color w:val="auto"/>
              </w:rPr>
              <w:t>0.04*</w:t>
            </w:r>
          </w:p>
        </w:tc>
      </w:tr>
      <w:tr w:rsidR="00162B16" w:rsidRPr="00162B16" w14:paraId="13772340" w14:textId="77777777" w:rsidTr="0002463C">
        <w:tc>
          <w:tcPr>
            <w:tcW w:w="0" w:type="auto"/>
            <w:vMerge/>
          </w:tcPr>
          <w:p w14:paraId="436FE039" w14:textId="77777777" w:rsidR="0002463C" w:rsidRPr="00162B16" w:rsidRDefault="0002463C" w:rsidP="0002463C">
            <w:pPr>
              <w:pStyle w:val="MDPI31text"/>
              <w:ind w:left="0" w:firstLine="0"/>
              <w:rPr>
                <w:color w:val="auto"/>
              </w:rPr>
            </w:pPr>
          </w:p>
        </w:tc>
        <w:tc>
          <w:tcPr>
            <w:tcW w:w="0" w:type="auto"/>
          </w:tcPr>
          <w:p w14:paraId="35F9C73F" w14:textId="1811FE17" w:rsidR="0002463C" w:rsidRPr="00162B16" w:rsidRDefault="0002463C" w:rsidP="0002463C">
            <w:pPr>
              <w:pStyle w:val="MDPI31text"/>
              <w:ind w:left="0" w:firstLine="0"/>
              <w:rPr>
                <w:color w:val="auto"/>
              </w:rPr>
            </w:pPr>
            <w:r w:rsidRPr="00162B16">
              <w:rPr>
                <w:color w:val="auto"/>
              </w:rPr>
              <w:t>No</w:t>
            </w:r>
          </w:p>
        </w:tc>
        <w:tc>
          <w:tcPr>
            <w:tcW w:w="0" w:type="auto"/>
          </w:tcPr>
          <w:p w14:paraId="4A5D7BE0" w14:textId="77777777" w:rsidR="0002463C" w:rsidRPr="00162B16" w:rsidRDefault="0002463C" w:rsidP="0002463C">
            <w:pPr>
              <w:pStyle w:val="MDPI31text"/>
              <w:ind w:left="0" w:firstLine="0"/>
              <w:rPr>
                <w:color w:val="auto"/>
              </w:rPr>
            </w:pPr>
          </w:p>
        </w:tc>
        <w:tc>
          <w:tcPr>
            <w:tcW w:w="0" w:type="auto"/>
          </w:tcPr>
          <w:p w14:paraId="7F661EDB" w14:textId="77777777" w:rsidR="0002463C" w:rsidRPr="00162B16" w:rsidRDefault="0002463C" w:rsidP="0002463C">
            <w:pPr>
              <w:pStyle w:val="MDPI31text"/>
              <w:ind w:left="0" w:firstLine="0"/>
              <w:rPr>
                <w:color w:val="auto"/>
              </w:rPr>
            </w:pPr>
          </w:p>
        </w:tc>
        <w:tc>
          <w:tcPr>
            <w:tcW w:w="0" w:type="auto"/>
          </w:tcPr>
          <w:p w14:paraId="0BBAB9A3" w14:textId="77777777" w:rsidR="0002463C" w:rsidRPr="00162B16" w:rsidRDefault="0002463C" w:rsidP="0002463C">
            <w:pPr>
              <w:pStyle w:val="MDPI31text"/>
              <w:ind w:left="0" w:firstLine="0"/>
              <w:rPr>
                <w:color w:val="auto"/>
              </w:rPr>
            </w:pPr>
          </w:p>
        </w:tc>
        <w:tc>
          <w:tcPr>
            <w:tcW w:w="0" w:type="auto"/>
          </w:tcPr>
          <w:p w14:paraId="15706248" w14:textId="77777777" w:rsidR="0002463C" w:rsidRPr="00162B16" w:rsidRDefault="0002463C" w:rsidP="0002463C">
            <w:pPr>
              <w:pStyle w:val="MDPI31text"/>
              <w:ind w:left="0" w:firstLine="0"/>
              <w:rPr>
                <w:color w:val="auto"/>
              </w:rPr>
            </w:pPr>
          </w:p>
        </w:tc>
      </w:tr>
      <w:tr w:rsidR="00162B16" w:rsidRPr="00162B16" w14:paraId="687DCEC6" w14:textId="77777777" w:rsidTr="0002463C">
        <w:tc>
          <w:tcPr>
            <w:tcW w:w="0" w:type="auto"/>
          </w:tcPr>
          <w:p w14:paraId="5C8FFF7A" w14:textId="77777777" w:rsidR="0002463C" w:rsidRPr="00162B16" w:rsidRDefault="0002463C" w:rsidP="0002463C">
            <w:pPr>
              <w:pStyle w:val="MDPI31text"/>
              <w:ind w:left="0" w:firstLine="0"/>
              <w:rPr>
                <w:color w:val="auto"/>
              </w:rPr>
            </w:pPr>
          </w:p>
        </w:tc>
        <w:tc>
          <w:tcPr>
            <w:tcW w:w="0" w:type="auto"/>
          </w:tcPr>
          <w:p w14:paraId="1B48D220" w14:textId="77777777" w:rsidR="0002463C" w:rsidRPr="00162B16" w:rsidRDefault="0002463C" w:rsidP="0002463C">
            <w:pPr>
              <w:pStyle w:val="MDPI31text"/>
              <w:ind w:left="0" w:firstLine="0"/>
              <w:rPr>
                <w:color w:val="auto"/>
              </w:rPr>
            </w:pPr>
          </w:p>
        </w:tc>
        <w:tc>
          <w:tcPr>
            <w:tcW w:w="0" w:type="auto"/>
          </w:tcPr>
          <w:p w14:paraId="53B1D131" w14:textId="77777777" w:rsidR="0002463C" w:rsidRPr="00162B16" w:rsidRDefault="0002463C" w:rsidP="0002463C">
            <w:pPr>
              <w:pStyle w:val="MDPI31text"/>
              <w:ind w:left="0" w:firstLine="0"/>
              <w:rPr>
                <w:color w:val="auto"/>
              </w:rPr>
            </w:pPr>
          </w:p>
        </w:tc>
        <w:tc>
          <w:tcPr>
            <w:tcW w:w="0" w:type="auto"/>
          </w:tcPr>
          <w:p w14:paraId="67B32E26" w14:textId="77777777" w:rsidR="0002463C" w:rsidRPr="00162B16" w:rsidRDefault="0002463C" w:rsidP="0002463C">
            <w:pPr>
              <w:pStyle w:val="MDPI31text"/>
              <w:ind w:left="0" w:firstLine="0"/>
              <w:rPr>
                <w:color w:val="auto"/>
              </w:rPr>
            </w:pPr>
          </w:p>
        </w:tc>
        <w:tc>
          <w:tcPr>
            <w:tcW w:w="0" w:type="auto"/>
          </w:tcPr>
          <w:p w14:paraId="5FFE507A" w14:textId="77777777" w:rsidR="0002463C" w:rsidRPr="00162B16" w:rsidRDefault="0002463C" w:rsidP="0002463C">
            <w:pPr>
              <w:pStyle w:val="MDPI31text"/>
              <w:ind w:left="0" w:firstLine="0"/>
              <w:rPr>
                <w:color w:val="auto"/>
              </w:rPr>
            </w:pPr>
          </w:p>
        </w:tc>
        <w:tc>
          <w:tcPr>
            <w:tcW w:w="0" w:type="auto"/>
          </w:tcPr>
          <w:p w14:paraId="3A624F02" w14:textId="77777777" w:rsidR="0002463C" w:rsidRPr="00162B16" w:rsidRDefault="0002463C" w:rsidP="0002463C">
            <w:pPr>
              <w:pStyle w:val="MDPI31text"/>
              <w:ind w:left="0" w:firstLine="0"/>
              <w:rPr>
                <w:color w:val="auto"/>
              </w:rPr>
            </w:pPr>
          </w:p>
        </w:tc>
      </w:tr>
      <w:tr w:rsidR="00162B16" w:rsidRPr="00162B16" w14:paraId="795BEA69" w14:textId="77777777" w:rsidTr="0002463C">
        <w:tc>
          <w:tcPr>
            <w:tcW w:w="0" w:type="auto"/>
          </w:tcPr>
          <w:p w14:paraId="3D7273F9" w14:textId="77777777" w:rsidR="0002463C" w:rsidRPr="00162B16" w:rsidRDefault="0002463C" w:rsidP="0002463C">
            <w:pPr>
              <w:pStyle w:val="MDPI31text"/>
              <w:ind w:left="0" w:firstLine="0"/>
              <w:rPr>
                <w:color w:val="auto"/>
              </w:rPr>
            </w:pPr>
          </w:p>
        </w:tc>
        <w:tc>
          <w:tcPr>
            <w:tcW w:w="0" w:type="auto"/>
          </w:tcPr>
          <w:p w14:paraId="6AD7DC77" w14:textId="77777777" w:rsidR="0002463C" w:rsidRPr="00162B16" w:rsidRDefault="0002463C" w:rsidP="0002463C">
            <w:pPr>
              <w:pStyle w:val="MDPI31text"/>
              <w:ind w:left="0" w:firstLine="0"/>
              <w:rPr>
                <w:color w:val="auto"/>
              </w:rPr>
            </w:pPr>
          </w:p>
        </w:tc>
        <w:tc>
          <w:tcPr>
            <w:tcW w:w="0" w:type="auto"/>
          </w:tcPr>
          <w:p w14:paraId="7631A63B" w14:textId="77777777" w:rsidR="0002463C" w:rsidRPr="00162B16" w:rsidRDefault="0002463C" w:rsidP="0002463C">
            <w:pPr>
              <w:pStyle w:val="MDPI31text"/>
              <w:ind w:left="0" w:firstLine="0"/>
              <w:rPr>
                <w:color w:val="auto"/>
              </w:rPr>
            </w:pPr>
          </w:p>
        </w:tc>
        <w:tc>
          <w:tcPr>
            <w:tcW w:w="0" w:type="auto"/>
          </w:tcPr>
          <w:p w14:paraId="69C31FF0" w14:textId="77777777" w:rsidR="0002463C" w:rsidRPr="00162B16" w:rsidRDefault="0002463C" w:rsidP="0002463C">
            <w:pPr>
              <w:pStyle w:val="MDPI31text"/>
              <w:ind w:left="0" w:firstLine="0"/>
              <w:rPr>
                <w:color w:val="auto"/>
              </w:rPr>
            </w:pPr>
          </w:p>
        </w:tc>
        <w:tc>
          <w:tcPr>
            <w:tcW w:w="0" w:type="auto"/>
          </w:tcPr>
          <w:p w14:paraId="7DAD39C9" w14:textId="77777777" w:rsidR="0002463C" w:rsidRPr="00162B16" w:rsidRDefault="0002463C" w:rsidP="0002463C">
            <w:pPr>
              <w:pStyle w:val="MDPI31text"/>
              <w:ind w:left="0" w:firstLine="0"/>
              <w:rPr>
                <w:color w:val="auto"/>
              </w:rPr>
            </w:pPr>
          </w:p>
        </w:tc>
        <w:tc>
          <w:tcPr>
            <w:tcW w:w="0" w:type="auto"/>
          </w:tcPr>
          <w:p w14:paraId="798EE108" w14:textId="77777777" w:rsidR="0002463C" w:rsidRPr="00162B16" w:rsidRDefault="0002463C" w:rsidP="0002463C">
            <w:pPr>
              <w:pStyle w:val="MDPI31text"/>
              <w:ind w:left="0" w:firstLine="0"/>
              <w:rPr>
                <w:color w:val="auto"/>
              </w:rPr>
            </w:pPr>
          </w:p>
        </w:tc>
      </w:tr>
      <w:tr w:rsidR="00162B16" w:rsidRPr="00162B16" w14:paraId="38FFD104" w14:textId="77777777" w:rsidTr="0002463C">
        <w:tc>
          <w:tcPr>
            <w:tcW w:w="0" w:type="auto"/>
          </w:tcPr>
          <w:p w14:paraId="563CBDBF" w14:textId="77777777" w:rsidR="0002463C" w:rsidRPr="00162B16" w:rsidRDefault="0002463C" w:rsidP="0002463C">
            <w:pPr>
              <w:pStyle w:val="MDPI31text"/>
              <w:ind w:left="0" w:firstLine="0"/>
              <w:rPr>
                <w:color w:val="auto"/>
              </w:rPr>
            </w:pPr>
          </w:p>
        </w:tc>
        <w:tc>
          <w:tcPr>
            <w:tcW w:w="0" w:type="auto"/>
          </w:tcPr>
          <w:p w14:paraId="73482F1C" w14:textId="77777777" w:rsidR="0002463C" w:rsidRPr="00162B16" w:rsidRDefault="0002463C" w:rsidP="0002463C">
            <w:pPr>
              <w:pStyle w:val="MDPI31text"/>
              <w:ind w:left="0" w:firstLine="0"/>
              <w:rPr>
                <w:color w:val="auto"/>
              </w:rPr>
            </w:pPr>
          </w:p>
        </w:tc>
        <w:tc>
          <w:tcPr>
            <w:tcW w:w="0" w:type="auto"/>
          </w:tcPr>
          <w:p w14:paraId="33444680" w14:textId="77777777" w:rsidR="0002463C" w:rsidRPr="00162B16" w:rsidRDefault="0002463C" w:rsidP="0002463C">
            <w:pPr>
              <w:pStyle w:val="MDPI31text"/>
              <w:ind w:left="0" w:firstLine="0"/>
              <w:rPr>
                <w:color w:val="auto"/>
              </w:rPr>
            </w:pPr>
          </w:p>
        </w:tc>
        <w:tc>
          <w:tcPr>
            <w:tcW w:w="0" w:type="auto"/>
          </w:tcPr>
          <w:p w14:paraId="5D5163C1" w14:textId="77777777" w:rsidR="0002463C" w:rsidRPr="00162B16" w:rsidRDefault="0002463C" w:rsidP="0002463C">
            <w:pPr>
              <w:pStyle w:val="MDPI31text"/>
              <w:ind w:left="0" w:firstLine="0"/>
              <w:rPr>
                <w:color w:val="auto"/>
              </w:rPr>
            </w:pPr>
          </w:p>
        </w:tc>
        <w:tc>
          <w:tcPr>
            <w:tcW w:w="0" w:type="auto"/>
          </w:tcPr>
          <w:p w14:paraId="166CD95A" w14:textId="77777777" w:rsidR="0002463C" w:rsidRPr="00162B16" w:rsidRDefault="0002463C" w:rsidP="0002463C">
            <w:pPr>
              <w:pStyle w:val="MDPI31text"/>
              <w:ind w:left="0" w:firstLine="0"/>
              <w:rPr>
                <w:color w:val="auto"/>
              </w:rPr>
            </w:pPr>
          </w:p>
        </w:tc>
        <w:tc>
          <w:tcPr>
            <w:tcW w:w="0" w:type="auto"/>
          </w:tcPr>
          <w:p w14:paraId="68DB1D4C" w14:textId="77777777" w:rsidR="0002463C" w:rsidRPr="00162B16" w:rsidRDefault="0002463C" w:rsidP="0002463C">
            <w:pPr>
              <w:pStyle w:val="MDPI31text"/>
              <w:ind w:left="0" w:firstLine="0"/>
              <w:rPr>
                <w:color w:val="auto"/>
              </w:rPr>
            </w:pPr>
          </w:p>
        </w:tc>
      </w:tr>
      <w:tr w:rsidR="00162B16" w:rsidRPr="00162B16" w14:paraId="041B9AD5" w14:textId="77777777" w:rsidTr="0002463C">
        <w:tc>
          <w:tcPr>
            <w:tcW w:w="0" w:type="auto"/>
          </w:tcPr>
          <w:p w14:paraId="27A54391" w14:textId="77777777" w:rsidR="0002463C" w:rsidRPr="00162B16" w:rsidRDefault="0002463C" w:rsidP="0002463C">
            <w:pPr>
              <w:pStyle w:val="MDPI31text"/>
              <w:ind w:left="0" w:firstLine="0"/>
              <w:rPr>
                <w:color w:val="auto"/>
              </w:rPr>
            </w:pPr>
          </w:p>
        </w:tc>
        <w:tc>
          <w:tcPr>
            <w:tcW w:w="0" w:type="auto"/>
          </w:tcPr>
          <w:p w14:paraId="434388DE" w14:textId="42934AB1" w:rsidR="0002463C" w:rsidRPr="00162B16" w:rsidRDefault="0002463C" w:rsidP="0002463C">
            <w:pPr>
              <w:pStyle w:val="MDPI31text"/>
              <w:ind w:left="0" w:firstLine="0"/>
              <w:rPr>
                <w:color w:val="auto"/>
              </w:rPr>
            </w:pPr>
            <w:r w:rsidRPr="00162B16">
              <w:rPr>
                <w:color w:val="auto"/>
              </w:rPr>
              <w:t>Level 2 Variable</w:t>
            </w:r>
          </w:p>
        </w:tc>
        <w:tc>
          <w:tcPr>
            <w:tcW w:w="0" w:type="auto"/>
          </w:tcPr>
          <w:p w14:paraId="10E68FEE" w14:textId="77777777" w:rsidR="0002463C" w:rsidRPr="00162B16" w:rsidRDefault="0002463C" w:rsidP="0002463C">
            <w:pPr>
              <w:pStyle w:val="MDPI31text"/>
              <w:ind w:left="0" w:firstLine="0"/>
              <w:rPr>
                <w:color w:val="auto"/>
              </w:rPr>
            </w:pPr>
          </w:p>
        </w:tc>
        <w:tc>
          <w:tcPr>
            <w:tcW w:w="0" w:type="auto"/>
          </w:tcPr>
          <w:p w14:paraId="782C6AC9" w14:textId="77777777" w:rsidR="0002463C" w:rsidRPr="00162B16" w:rsidRDefault="0002463C" w:rsidP="0002463C">
            <w:pPr>
              <w:pStyle w:val="MDPI31text"/>
              <w:ind w:left="0" w:firstLine="0"/>
              <w:rPr>
                <w:color w:val="auto"/>
              </w:rPr>
            </w:pPr>
          </w:p>
        </w:tc>
        <w:tc>
          <w:tcPr>
            <w:tcW w:w="0" w:type="auto"/>
          </w:tcPr>
          <w:p w14:paraId="5B098C3E" w14:textId="77777777" w:rsidR="0002463C" w:rsidRPr="00162B16" w:rsidRDefault="0002463C" w:rsidP="0002463C">
            <w:pPr>
              <w:pStyle w:val="MDPI31text"/>
              <w:ind w:left="0" w:firstLine="0"/>
              <w:rPr>
                <w:color w:val="auto"/>
              </w:rPr>
            </w:pPr>
          </w:p>
        </w:tc>
        <w:tc>
          <w:tcPr>
            <w:tcW w:w="0" w:type="auto"/>
          </w:tcPr>
          <w:p w14:paraId="1855FDAB" w14:textId="77777777" w:rsidR="0002463C" w:rsidRPr="00162B16" w:rsidRDefault="0002463C" w:rsidP="0002463C">
            <w:pPr>
              <w:pStyle w:val="MDPI31text"/>
              <w:ind w:left="0" w:firstLine="0"/>
              <w:rPr>
                <w:color w:val="auto"/>
              </w:rPr>
            </w:pPr>
          </w:p>
        </w:tc>
      </w:tr>
      <w:tr w:rsidR="00162B16" w:rsidRPr="00162B16" w14:paraId="1429F8F9" w14:textId="77777777" w:rsidTr="0002463C">
        <w:tc>
          <w:tcPr>
            <w:tcW w:w="0" w:type="auto"/>
            <w:tcBorders>
              <w:bottom w:val="single" w:sz="4" w:space="0" w:color="auto"/>
            </w:tcBorders>
          </w:tcPr>
          <w:p w14:paraId="347FEB10" w14:textId="77777777" w:rsidR="0002463C" w:rsidRPr="00162B16" w:rsidRDefault="0002463C" w:rsidP="0002463C">
            <w:pPr>
              <w:pStyle w:val="MDPI31text"/>
              <w:ind w:left="0" w:firstLine="0"/>
              <w:rPr>
                <w:color w:val="auto"/>
              </w:rPr>
            </w:pPr>
          </w:p>
        </w:tc>
        <w:tc>
          <w:tcPr>
            <w:tcW w:w="0" w:type="auto"/>
            <w:tcBorders>
              <w:bottom w:val="single" w:sz="4" w:space="0" w:color="auto"/>
            </w:tcBorders>
          </w:tcPr>
          <w:p w14:paraId="320F9E1E" w14:textId="0A1DCE4C" w:rsidR="0002463C" w:rsidRPr="00162B16" w:rsidRDefault="0002463C" w:rsidP="0002463C">
            <w:pPr>
              <w:pStyle w:val="MDPI31text"/>
              <w:ind w:left="0" w:firstLine="0"/>
              <w:rPr>
                <w:color w:val="auto"/>
              </w:rPr>
            </w:pPr>
            <w:r w:rsidRPr="00162B16">
              <w:rPr>
                <w:color w:val="auto"/>
              </w:rPr>
              <w:t>Survey year</w:t>
            </w:r>
          </w:p>
        </w:tc>
        <w:tc>
          <w:tcPr>
            <w:tcW w:w="0" w:type="auto"/>
            <w:tcBorders>
              <w:bottom w:val="single" w:sz="4" w:space="0" w:color="auto"/>
            </w:tcBorders>
          </w:tcPr>
          <w:p w14:paraId="1C31BC58" w14:textId="29B0FC17" w:rsidR="0002463C" w:rsidRPr="00162B16" w:rsidRDefault="0002463C" w:rsidP="0002463C">
            <w:pPr>
              <w:pStyle w:val="MDPI31text"/>
              <w:ind w:left="0" w:firstLine="0"/>
              <w:rPr>
                <w:color w:val="auto"/>
              </w:rPr>
            </w:pPr>
            <w:r w:rsidRPr="00162B16">
              <w:rPr>
                <w:color w:val="auto"/>
              </w:rPr>
              <w:t>0.004</w:t>
            </w:r>
          </w:p>
        </w:tc>
        <w:tc>
          <w:tcPr>
            <w:tcW w:w="0" w:type="auto"/>
            <w:tcBorders>
              <w:bottom w:val="single" w:sz="4" w:space="0" w:color="auto"/>
            </w:tcBorders>
          </w:tcPr>
          <w:p w14:paraId="3B132E79" w14:textId="77777777" w:rsidR="0002463C" w:rsidRPr="00162B16" w:rsidRDefault="0002463C" w:rsidP="0002463C">
            <w:pPr>
              <w:pStyle w:val="MDPI31text"/>
              <w:ind w:left="0" w:firstLine="0"/>
              <w:rPr>
                <w:color w:val="auto"/>
              </w:rPr>
            </w:pPr>
          </w:p>
        </w:tc>
        <w:tc>
          <w:tcPr>
            <w:tcW w:w="0" w:type="auto"/>
            <w:tcBorders>
              <w:bottom w:val="single" w:sz="4" w:space="0" w:color="auto"/>
            </w:tcBorders>
          </w:tcPr>
          <w:p w14:paraId="69EA9BC4" w14:textId="150C574B" w:rsidR="0002463C" w:rsidRPr="00162B16" w:rsidRDefault="0002463C" w:rsidP="0002463C">
            <w:pPr>
              <w:pStyle w:val="MDPI31text"/>
              <w:ind w:left="0" w:firstLine="0"/>
              <w:rPr>
                <w:color w:val="auto"/>
              </w:rPr>
            </w:pPr>
            <w:r w:rsidRPr="00162B16">
              <w:rPr>
                <w:color w:val="auto"/>
              </w:rPr>
              <w:t>0.0004- 0.032</w:t>
            </w:r>
          </w:p>
        </w:tc>
        <w:tc>
          <w:tcPr>
            <w:tcW w:w="0" w:type="auto"/>
            <w:tcBorders>
              <w:bottom w:val="single" w:sz="4" w:space="0" w:color="auto"/>
            </w:tcBorders>
          </w:tcPr>
          <w:p w14:paraId="686696CD" w14:textId="3FF6C229" w:rsidR="0002463C" w:rsidRPr="00162B16" w:rsidRDefault="0002463C" w:rsidP="0002463C">
            <w:pPr>
              <w:pStyle w:val="MDPI31text"/>
              <w:ind w:left="0" w:firstLine="0"/>
              <w:rPr>
                <w:color w:val="auto"/>
              </w:rPr>
            </w:pPr>
            <w:r w:rsidRPr="00162B16">
              <w:rPr>
                <w:color w:val="auto"/>
              </w:rPr>
              <w:t>0.363</w:t>
            </w:r>
          </w:p>
        </w:tc>
      </w:tr>
    </w:tbl>
    <w:p w14:paraId="6363E91B" w14:textId="798951EF" w:rsidR="0002463C" w:rsidRPr="00162B16" w:rsidRDefault="0002463C" w:rsidP="007F6CE3">
      <w:pPr>
        <w:pBdr>
          <w:top w:val="single" w:sz="4" w:space="1" w:color="auto"/>
          <w:left w:val="single" w:sz="4" w:space="4" w:color="auto"/>
          <w:bottom w:val="single" w:sz="4" w:space="1" w:color="auto"/>
          <w:right w:val="single" w:sz="4" w:space="4" w:color="auto"/>
          <w:between w:val="single" w:sz="4" w:space="1" w:color="auto"/>
          <w:bar w:val="single" w:sz="4" w:color="auto"/>
        </w:pBdr>
        <w:adjustRightInd w:val="0"/>
        <w:snapToGrid w:val="0"/>
        <w:spacing w:line="240" w:lineRule="auto"/>
        <w:jc w:val="left"/>
        <w:rPr>
          <w:noProof w:val="0"/>
          <w:color w:val="auto"/>
        </w:rPr>
      </w:pPr>
      <w:r w:rsidRPr="00162B16">
        <w:rPr>
          <w:noProof w:val="0"/>
          <w:color w:val="auto"/>
        </w:rPr>
        <w:lastRenderedPageBreak/>
        <w:t xml:space="preserve">                            * </w:t>
      </w:r>
      <w:proofErr w:type="gramStart"/>
      <w:r w:rsidRPr="00162B16">
        <w:rPr>
          <w:noProof w:val="0"/>
          <w:color w:val="auto"/>
        </w:rPr>
        <w:t>indicates</w:t>
      </w:r>
      <w:proofErr w:type="gramEnd"/>
      <w:r w:rsidRPr="00162B16">
        <w:rPr>
          <w:noProof w:val="0"/>
          <w:color w:val="auto"/>
        </w:rPr>
        <w:t xml:space="preserve"> significance at 0.05 level</w:t>
      </w:r>
    </w:p>
    <w:p w14:paraId="2EF255B4" w14:textId="1283A45B" w:rsidR="005B7F2F" w:rsidRPr="00162B16" w:rsidRDefault="0002463C" w:rsidP="005B7F2F">
      <w:pPr>
        <w:pStyle w:val="MDPI31text"/>
        <w:rPr>
          <w:color w:val="auto"/>
        </w:rPr>
      </w:pPr>
      <w:r w:rsidRPr="00162B16">
        <w:rPr>
          <w:color w:val="auto"/>
        </w:rPr>
        <w:t xml:space="preserve">                               ** indicates significance at 0.01 level</w:t>
      </w:r>
    </w:p>
    <w:p w14:paraId="177A3867" w14:textId="0291774A" w:rsidR="00937EA2" w:rsidRPr="00162B16" w:rsidRDefault="00FA5FF3" w:rsidP="00FA5FF3">
      <w:pPr>
        <w:pStyle w:val="MDPI21heading1"/>
        <w:rPr>
          <w:color w:val="auto"/>
        </w:rPr>
      </w:pPr>
      <w:r w:rsidRPr="00162B16">
        <w:rPr>
          <w:color w:val="auto"/>
        </w:rPr>
        <w:t xml:space="preserve">4. </w:t>
      </w:r>
      <w:r w:rsidR="00937EA2" w:rsidRPr="00162B16">
        <w:rPr>
          <w:color w:val="auto"/>
        </w:rPr>
        <w:t>Discussion</w:t>
      </w:r>
    </w:p>
    <w:p w14:paraId="169B25D5" w14:textId="64471E52" w:rsidR="00E333FB" w:rsidRPr="00162B16" w:rsidRDefault="00455395" w:rsidP="00E333FB">
      <w:pPr>
        <w:pStyle w:val="MDPI31text"/>
        <w:rPr>
          <w:color w:val="auto"/>
        </w:rPr>
      </w:pPr>
      <w:r w:rsidRPr="00162B16">
        <w:rPr>
          <w:color w:val="auto"/>
        </w:rPr>
        <w:t xml:space="preserve">The aim of this study was to assess differences in PA behavior between people retired due to old age and those in employment. Data from three cross-sectional surveys in Malta were used. </w:t>
      </w:r>
      <w:r w:rsidR="00E333FB" w:rsidRPr="00162B16">
        <w:rPr>
          <w:color w:val="auto"/>
        </w:rPr>
        <w:t>In the studied population throughout the years there was an increase in the proportion of people participating in moderate PA behavior and a decrease in high PA behavior, which w</w:t>
      </w:r>
      <w:r w:rsidR="00A51061" w:rsidRPr="00162B16">
        <w:rPr>
          <w:color w:val="auto"/>
        </w:rPr>
        <w:t>as</w:t>
      </w:r>
      <w:r w:rsidR="00E333FB" w:rsidRPr="00162B16">
        <w:rPr>
          <w:color w:val="auto"/>
        </w:rPr>
        <w:t xml:space="preserve"> found to be statistically significant. The proportion of people who had a low level of PA behavior remained not significantly different throughout the years. Consistent with trends reported in other countries such as Australia and the USA </w:t>
      </w:r>
      <w:r w:rsidR="00E333FB" w:rsidRPr="00162B16">
        <w:rPr>
          <w:color w:val="auto"/>
        </w:rPr>
        <w:fldChar w:fldCharType="begin" w:fldLock="1"/>
      </w:r>
      <w:r w:rsidR="00E333FB" w:rsidRPr="00162B16">
        <w:rPr>
          <w:color w:val="auto"/>
        </w:rPr>
        <w:instrText>ADDIN CSL_CITATION {"citationItems":[{"id":"ITEM-1","itemData":{"DOI":"10.1186/1471-2458-13-449","ISBN":"1471-2458","ISSN":"14712458","PMID":"23648225","abstract":"BACKGROUND: Physical activity (PA) in older people is critically important in the prevention of disease, maintenance of independence and improvement of quality of life. Little is known about the physical activity of the older adults or their compliance with current physical activity guidelines.\\n\\nMETHODS: A systematic literature search of the published literature was conducted. Included were published reports of original research that independently reported: the PA level of non-institutional older adults (aged 60 years and over); and the proportion of older adults in the different samples who met PA recommendations or guidelines. The review was restricted to studies published since 2000 to provide a current picture of older adults' PA levels.\\n\\nRESULTS: Fifty three papers were included in the review. The percentage of older adults meeting recommended physical activity ranged from 2.4 - 83.0% across the studies. Definitions of \"recommended\" physical activity in older adults varied across the studies as did approaches to measurement which posed methodological challenges to data analysis. Older age groups were less likely than the reference group to be regularly active, and women were less likely than men to achieve regular physical activity, especially leisure time physical activity, when measured by both subjective and objective criteria.\\n\\nCONCLUSION: The review highlights the need for studies which recruit representative random samples of community based older people and employ validated measurement methods consistently to enable comparison of PA levels over time and between countries.","author":[{"dropping-particle":"","family":"Sun","given":"Fei","non-dropping-particle":"","parse-names":false,"suffix":""},{"dropping-particle":"","family":"Norman","given":"Ian J.","non-dropping-particle":"","parse-names":false,"suffix":""},{"dropping-particle":"","family":"While","given":"Alison E.","non-dropping-particle":"","parse-names":false,"suffix":""}],"container-title":"BMC Public Health","id":"ITEM-1","issue":"1","issued":{"date-parts":[["2013"]]},"language":"English","note":"From Duplicate 2 (Physical activity in older people: a systematic review - Sun, Fei; Norman, Ian J.; While, Alison E.)\n\nFrom Duplicate 2 (Physical activity in older people: a systematic review - Sun, Fei; Norman, Ian J; While, Alison E)\n\nCopyright - © 2013 Sun et al.; licensee BioMed Central Ltd. This is an Open Access article distributed under the terms of the Creative Commons Attribution License (http://creativecommons.org/licenses/by/2.0), which permits unrestricted use, distribution, and reproduction in any medium, provided the original work is properly cited.\nLast updated - 2015-09-01","page":"449","publisher":"BioMed Central","publisher-place":"London","title":"Physical activity in older people: A systematic review","type":"article-journal","volume":"13"},"uris":["http://www.mendeley.com/documents/?uuid=2e3b5ebd-3251-410f-9d16-543859fdeea6"]}],"mendeley":{"formattedCitation":"[41]","plainTextFormattedCitation":"[41]","previouslyFormattedCitation":"[40]"},"properties":{"noteIndex":0},"schema":"https://github.com/citation-style-language/schema/raw/master/csl-citation.json"}</w:instrText>
      </w:r>
      <w:r w:rsidR="00E333FB" w:rsidRPr="00162B16">
        <w:rPr>
          <w:color w:val="auto"/>
        </w:rPr>
        <w:fldChar w:fldCharType="separate"/>
      </w:r>
      <w:r w:rsidR="00E333FB" w:rsidRPr="00162B16">
        <w:rPr>
          <w:noProof/>
          <w:color w:val="auto"/>
        </w:rPr>
        <w:t>[41]</w:t>
      </w:r>
      <w:r w:rsidR="00E333FB" w:rsidRPr="00162B16">
        <w:rPr>
          <w:color w:val="auto"/>
        </w:rPr>
        <w:fldChar w:fldCharType="end"/>
      </w:r>
      <w:r w:rsidR="00E333FB" w:rsidRPr="00162B16">
        <w:rPr>
          <w:color w:val="auto"/>
        </w:rPr>
        <w:t xml:space="preserve">, a higher proportion of people within the total population reached moderate PA behavior </w:t>
      </w:r>
      <w:r w:rsidR="00A51061" w:rsidRPr="00162B16">
        <w:rPr>
          <w:color w:val="auto"/>
        </w:rPr>
        <w:t>I each of the survey years</w:t>
      </w:r>
      <w:r w:rsidR="00E333FB" w:rsidRPr="00162B16">
        <w:rPr>
          <w:color w:val="auto"/>
        </w:rPr>
        <w:t>.</w:t>
      </w:r>
    </w:p>
    <w:p w14:paraId="08DD4754" w14:textId="2FB0813E" w:rsidR="00C61C61" w:rsidRPr="00162B16" w:rsidRDefault="00A51061" w:rsidP="00FA5FF3">
      <w:pPr>
        <w:pStyle w:val="MDPI31text"/>
        <w:rPr>
          <w:color w:val="auto"/>
        </w:rPr>
      </w:pPr>
      <w:r w:rsidRPr="00162B16">
        <w:rPr>
          <w:color w:val="auto"/>
        </w:rPr>
        <w:t>When considering the total sample a</w:t>
      </w:r>
      <w:r w:rsidR="00C61C61" w:rsidRPr="00162B16">
        <w:rPr>
          <w:color w:val="auto"/>
        </w:rPr>
        <w:t xml:space="preserve">cross the years there </w:t>
      </w:r>
      <w:r w:rsidR="00F17C18" w:rsidRPr="00162B16">
        <w:rPr>
          <w:color w:val="auto"/>
        </w:rPr>
        <w:t>wa</w:t>
      </w:r>
      <w:r w:rsidR="00C61C61" w:rsidRPr="00162B16">
        <w:rPr>
          <w:color w:val="auto"/>
        </w:rPr>
        <w:t xml:space="preserve">s a decrease in the mean total MET minute per week which could be attributed to less people reaching high PA behavior. </w:t>
      </w:r>
      <w:r w:rsidR="00745625" w:rsidRPr="00162B16">
        <w:rPr>
          <w:color w:val="auto"/>
        </w:rPr>
        <w:t xml:space="preserve">Due to this change within the population, there are more people who are ‘sufficiently’ active but less people who have high PA behavior. </w:t>
      </w:r>
      <w:r w:rsidR="00F17C18" w:rsidRPr="00162B16">
        <w:rPr>
          <w:color w:val="auto"/>
        </w:rPr>
        <w:t>Statistical d</w:t>
      </w:r>
      <w:r w:rsidR="00745625" w:rsidRPr="00162B16">
        <w:rPr>
          <w:color w:val="auto"/>
        </w:rPr>
        <w:t xml:space="preserve">ifferences found </w:t>
      </w:r>
      <w:r w:rsidR="00575B01" w:rsidRPr="00162B16">
        <w:rPr>
          <w:color w:val="auto"/>
        </w:rPr>
        <w:t>when measuring PA categorially or in MET minutes per week</w:t>
      </w:r>
      <w:r w:rsidR="00F17C18" w:rsidRPr="00162B16">
        <w:rPr>
          <w:color w:val="auto"/>
        </w:rPr>
        <w:t xml:space="preserve"> were not congruent</w:t>
      </w:r>
      <w:r w:rsidR="00575B01" w:rsidRPr="00162B16">
        <w:rPr>
          <w:color w:val="auto"/>
        </w:rPr>
        <w:t xml:space="preserve">. </w:t>
      </w:r>
      <w:r w:rsidR="00745625" w:rsidRPr="00162B16">
        <w:rPr>
          <w:color w:val="auto"/>
        </w:rPr>
        <w:t>IPAQ categories are based on a mix of days per week,</w:t>
      </w:r>
      <w:r w:rsidR="00784EEA" w:rsidRPr="00162B16">
        <w:rPr>
          <w:color w:val="auto"/>
        </w:rPr>
        <w:t xml:space="preserve"> duration</w:t>
      </w:r>
      <w:r w:rsidR="00745625" w:rsidRPr="00162B16">
        <w:rPr>
          <w:color w:val="auto"/>
        </w:rPr>
        <w:t xml:space="preserve"> and MET minutes per week. Whilst continuous PA scores are in MET minutes per week</w:t>
      </w:r>
      <w:r w:rsidR="00784EEA" w:rsidRPr="00162B16">
        <w:rPr>
          <w:color w:val="auto"/>
        </w:rPr>
        <w:t xml:space="preserve"> therefore</w:t>
      </w:r>
      <w:r w:rsidR="00041A04" w:rsidRPr="00162B16">
        <w:rPr>
          <w:color w:val="auto"/>
        </w:rPr>
        <w:t xml:space="preserve"> </w:t>
      </w:r>
      <w:r w:rsidR="00784EEA" w:rsidRPr="00162B16">
        <w:rPr>
          <w:color w:val="auto"/>
        </w:rPr>
        <w:t>b</w:t>
      </w:r>
      <w:r w:rsidR="00D36B4A" w:rsidRPr="00162B16">
        <w:rPr>
          <w:color w:val="auto"/>
        </w:rPr>
        <w:t>oth</w:t>
      </w:r>
      <w:r w:rsidR="00745625" w:rsidRPr="00162B16">
        <w:rPr>
          <w:color w:val="auto"/>
        </w:rPr>
        <w:t xml:space="preserve"> parameters </w:t>
      </w:r>
      <w:r w:rsidR="00465019" w:rsidRPr="00162B16">
        <w:rPr>
          <w:color w:val="auto"/>
        </w:rPr>
        <w:t>measure</w:t>
      </w:r>
      <w:r w:rsidR="00745625" w:rsidRPr="00162B16">
        <w:rPr>
          <w:color w:val="auto"/>
        </w:rPr>
        <w:t xml:space="preserve"> different aspect</w:t>
      </w:r>
      <w:r w:rsidR="00784EEA" w:rsidRPr="00162B16">
        <w:rPr>
          <w:color w:val="auto"/>
        </w:rPr>
        <w:t>s</w:t>
      </w:r>
      <w:r w:rsidR="00745625" w:rsidRPr="00162B16">
        <w:rPr>
          <w:color w:val="auto"/>
        </w:rPr>
        <w:t xml:space="preserve"> of PA behavior.</w:t>
      </w:r>
    </w:p>
    <w:p w14:paraId="381F6E2A" w14:textId="4F4F4D33" w:rsidR="00455395" w:rsidRPr="00162B16" w:rsidRDefault="00455395" w:rsidP="00FA5FF3">
      <w:pPr>
        <w:pStyle w:val="MDPI31text"/>
        <w:rPr>
          <w:color w:val="auto"/>
        </w:rPr>
      </w:pPr>
      <w:r w:rsidRPr="00162B16">
        <w:rPr>
          <w:color w:val="auto"/>
        </w:rPr>
        <w:t xml:space="preserve">There was a difference in the PA behavior between </w:t>
      </w:r>
      <w:r w:rsidR="0029788E" w:rsidRPr="00162B16">
        <w:rPr>
          <w:color w:val="auto"/>
        </w:rPr>
        <w:t xml:space="preserve">retired and employed </w:t>
      </w:r>
      <w:r w:rsidRPr="00162B16">
        <w:rPr>
          <w:color w:val="auto"/>
        </w:rPr>
        <w:t xml:space="preserve">in the years of 2002 and 2008, when measured using MET minutes per week. </w:t>
      </w:r>
      <w:r w:rsidR="00D36B4A" w:rsidRPr="00162B16">
        <w:rPr>
          <w:color w:val="auto"/>
        </w:rPr>
        <w:t>T</w:t>
      </w:r>
      <w:r w:rsidRPr="00162B16">
        <w:rPr>
          <w:color w:val="auto"/>
        </w:rPr>
        <w:t xml:space="preserve">his difference was </w:t>
      </w:r>
      <w:r w:rsidR="00C61C61" w:rsidRPr="00162B16">
        <w:rPr>
          <w:color w:val="auto"/>
        </w:rPr>
        <w:t xml:space="preserve">only </w:t>
      </w:r>
      <w:r w:rsidRPr="00162B16">
        <w:rPr>
          <w:color w:val="auto"/>
        </w:rPr>
        <w:t xml:space="preserve">present </w:t>
      </w:r>
      <w:r w:rsidR="00C61C61" w:rsidRPr="00162B16">
        <w:rPr>
          <w:color w:val="auto"/>
        </w:rPr>
        <w:t xml:space="preserve">in 2008 </w:t>
      </w:r>
      <w:r w:rsidRPr="00162B16">
        <w:rPr>
          <w:color w:val="auto"/>
        </w:rPr>
        <w:t xml:space="preserve">when grouping PA behavior according to IPAQ categories. The difference in MET minutes per week is attributed to the amount of vigorous </w:t>
      </w:r>
      <w:r w:rsidR="0029788E" w:rsidRPr="00162B16">
        <w:rPr>
          <w:color w:val="auto"/>
        </w:rPr>
        <w:t xml:space="preserve">PA </w:t>
      </w:r>
      <w:r w:rsidRPr="00162B16">
        <w:rPr>
          <w:color w:val="auto"/>
        </w:rPr>
        <w:t xml:space="preserve">carried out by employed individuals which was significantly higher than those who retired for 2002 and 2008. Results indicate that there was a decrease in PA intensity in retired individuals, which difference was not present in 2014. Studies found that there is a gradual decrease in the amount of vigorous PA, starting at the age of 40 years which continues to decrease in old age retirees, even when adjusting for covariates (BMI, SES, limiting long standing illness) </w:t>
      </w:r>
      <w:r w:rsidR="0031296C" w:rsidRPr="00162B16">
        <w:rPr>
          <w:color w:val="auto"/>
        </w:rPr>
        <w:fldChar w:fldCharType="begin" w:fldLock="1"/>
      </w:r>
      <w:r w:rsidR="003610B8" w:rsidRPr="00162B16">
        <w:rPr>
          <w:color w:val="auto"/>
        </w:rPr>
        <w:instrText>ADDIN CSL_CITATION {"citationItems":[{"id":"ITEM-1","itemData":{"DOI":"10.1186/1479-5868-8-36","ISBN":"1479-5868","PMID":"21513555","abstract":"Background: Retirement is a major life change that is likely to affect lifestyles. The aim of this study was to examine changes in leisure-time physical activity of moderate and vigorous intensity among ageing employees facing transition to retirement over a follow-up of 5-7 years.; Methods: The baseline data were collected by questionnaire surveys in 2000-2002 among 40-60-year-old employees of the City of Helsinki. A follow-up survey was conducted among the baseline respondents in 2007 (n=7332, response rate 83%). Those who were on disability retirement at the follow-up were distinguished from old-age retirees. Leisure-time physical activity was measured using similar questions in both surveys.; Results: Old-age retirees increased significantly their time spent in moderate-intensity physical activity: women 31 minutes per week and men 42 minutes per week on average. Such changes were not found among disability retirees or those remaining employed. There were no changes in vigorous activity. Leisure-time physical inactivity at follow-up was lower among old-age retirees compared with employees of nearly the same age. Adjustments made for potential baseline covariates had no effects on these findings.; Conclusions: Transition to old-age retirement was associated with an increase in moderate-intensity leisure-time physical activity and a decrease in the proportion of inactive. Encouraging people to leisure-time physical activity after retirement is worthwhile as the increase in free time brings new possibilities for it.; © 2011 Lahti et al; licensee BioMed Central Ltd.","author":[{"dropping-particle":"","family":"Lahti","given":"Jouni","non-dropping-particle":"","parse-names":false,"suffix":""},{"dropping-particle":"","family":"Laaksonen","given":"Mikko","non-dropping-particle":"","parse-names":false,"suffix":""},{"dropping-particle":"","family":"Lahelma","given":"Eero","non-dropping-particle":"","parse-names":false,"suffix":""},{"dropping-particle":"","family":"Rahkonen","given":"Ossi","non-dropping-particle":"","parse-names":false,"suffix":""}],"container-title":"Int J Behav Nutr Phys Act","id":"ITEM-1","issued":{"date-parts":[["2011"]]},"note":"Date of Electronic Publication: 2011 Apr 23. ; Original Imprints: Publication: [London] : BioMed Central, c2004-","page":"36","publisher":"BioMed Central","publisher-place":"England","title":"Changes in leisure-time physical activity after transition to retirement: a follow-up study","type":"article-journal","volume":"8"},"uris":["http://www.mendeley.com/documents/?uuid=bbe3ca33-1172-4261-b4bb-24812ba8e54f"]},{"id":"ITEM-2","itemData":{"DOI":"10.1136/bmjopen-2014-007423","ISSN":"20446055","PMID":"25877281","abstract":"Objective: Few studies have examined how levels of activity intensity fluctuate throughout later life in older adults and no study has identified correlates of sustained activity levels in this age group. The aim of the present analysis was to investigate stability of activity over a 10-year period and identify potential correlates of sustained activity levels in older adults. Design: Analyses of data from the English Longitudinal Study of Ageing. Participant-reported physical activity data were collected in 2002 (baseline), 2004, 2006, 2008, 2010 and 2012. Participant age, sex, smoking, depressive symptoms, work status, wealth, and long-standing illness were recorded at baseline. Multiple logistic regression was used to examine associations between baseline exposure variables and persistent physical activity (reporting moderate and/or vigorous physical activity at least once a week at all 6 assessments over the 10-year time period). Results: A total of 5022 participants (mean age 61 years; 2114 male) were included in the analyses. There was reasonable stability in the physical activity measure over the 6 time points (Cronbach's α 0.85). There was an overall trend for increasing levels of inactivity and a reduction in vigorous activity. Age, female sex, having ever smoked, long-standing illness, arthritis, obesity, and depressive symptoms were associated with a lower likelihood of being persistently active (defined as reporting moderate and/or vigorous physical activity at least once a week over all 6 assessment points). Those with greater wealth were 4 times more likely to be persistently active. Conclusions: In the present analyses time spent in vigorous-intensity activity declined in later life. A range of sociodemographic and biomedical factors were associated with being persistently active in older adults.","author":[{"dropping-particle":"","family":"Smith","given":"Lee","non-dropping-particle":"","parse-names":false,"suffix":""},{"dropping-particle":"","family":"Gardner","given":"Benjamin","non-dropping-particle":"","parse-names":false,"suffix":""},{"dropping-particle":"","family":"Fisher","given":"Abigail","non-dropping-particle":"","parse-names":false,"suffix":""},{"dropping-particle":"","family":"Hamer","given":"Mark","non-dropping-particle":"","parse-names":false,"suffix":""}],"container-title":"BMJ Open","id":"ITEM-2","issue":"4","issued":{"date-parts":[["2015"]]},"page":"1-5","title":"Patterns and correlates of physical activity behaviour over 10 years in older adults: Prospective analyses from the English Longitudinal Study of Ageing","type":"article-journal","volume":"5"},"uris":["http://www.mendeley.com/documents/?uuid=93c739eb-a0fd-4ea3-8197-76ea36a97c69"]}],"mendeley":{"formattedCitation":"[31,32]","plainTextFormattedCitation":"[31,32]","previouslyFormattedCitation":"[30,31]"},"properties":{"noteIndex":0},"schema":"https://github.com/citation-style-language/schema/raw/master/csl-citation.json"}</w:instrText>
      </w:r>
      <w:r w:rsidR="0031296C" w:rsidRPr="00162B16">
        <w:rPr>
          <w:color w:val="auto"/>
        </w:rPr>
        <w:fldChar w:fldCharType="separate"/>
      </w:r>
      <w:r w:rsidR="003610B8" w:rsidRPr="00162B16">
        <w:rPr>
          <w:noProof/>
          <w:color w:val="auto"/>
        </w:rPr>
        <w:t>[31,32]</w:t>
      </w:r>
      <w:r w:rsidR="0031296C" w:rsidRPr="00162B16">
        <w:rPr>
          <w:color w:val="auto"/>
        </w:rPr>
        <w:fldChar w:fldCharType="end"/>
      </w:r>
      <w:r w:rsidRPr="00162B16">
        <w:rPr>
          <w:color w:val="auto"/>
        </w:rPr>
        <w:t>. The percentage of employed individuals reaching high levels of PA behavior decreased by 1</w:t>
      </w:r>
      <w:r w:rsidR="0029788E" w:rsidRPr="00162B16">
        <w:rPr>
          <w:color w:val="auto"/>
        </w:rPr>
        <w:t>4.8</w:t>
      </w:r>
      <w:r w:rsidRPr="00162B16">
        <w:rPr>
          <w:color w:val="auto"/>
        </w:rPr>
        <w:t>% from 2002 to 2014</w:t>
      </w:r>
      <w:r w:rsidR="0029788E" w:rsidRPr="00162B16">
        <w:rPr>
          <w:color w:val="auto"/>
        </w:rPr>
        <w:t xml:space="preserve"> in our data</w:t>
      </w:r>
      <w:r w:rsidRPr="00162B16">
        <w:rPr>
          <w:color w:val="auto"/>
        </w:rPr>
        <w:t xml:space="preserve">. </w:t>
      </w:r>
    </w:p>
    <w:p w14:paraId="28D224EA" w14:textId="75489EDA" w:rsidR="00455395" w:rsidRPr="00162B16" w:rsidRDefault="00455395" w:rsidP="00FA5FF3">
      <w:pPr>
        <w:pStyle w:val="MDPI31text"/>
        <w:rPr>
          <w:color w:val="auto"/>
        </w:rPr>
      </w:pPr>
      <w:r w:rsidRPr="00162B16">
        <w:rPr>
          <w:color w:val="auto"/>
        </w:rPr>
        <w:t xml:space="preserve">During the 12 years the difference </w:t>
      </w:r>
      <w:r w:rsidR="0029788E" w:rsidRPr="00162B16">
        <w:rPr>
          <w:color w:val="auto"/>
        </w:rPr>
        <w:t xml:space="preserve">in MET minutes per week </w:t>
      </w:r>
      <w:r w:rsidRPr="00162B16">
        <w:rPr>
          <w:color w:val="auto"/>
        </w:rPr>
        <w:t xml:space="preserve">between </w:t>
      </w:r>
      <w:r w:rsidR="0029788E" w:rsidRPr="00162B16">
        <w:rPr>
          <w:color w:val="auto"/>
        </w:rPr>
        <w:t>retired and employed reduced</w:t>
      </w:r>
      <w:r w:rsidRPr="00162B16">
        <w:rPr>
          <w:color w:val="auto"/>
        </w:rPr>
        <w:t xml:space="preserve">, and any future data </w:t>
      </w:r>
      <w:r w:rsidR="00A010EF" w:rsidRPr="00162B16">
        <w:rPr>
          <w:color w:val="auto"/>
        </w:rPr>
        <w:t>will be</w:t>
      </w:r>
      <w:r w:rsidRPr="00162B16">
        <w:rPr>
          <w:color w:val="auto"/>
        </w:rPr>
        <w:t xml:space="preserve"> able to indicate whether there is a trend with retired individuals becoming more physically active than those in employment. However, these differences were not present when PA behavior was analyzed using IPAQ PA categories. A higher proportion of the retired individuals attained moderate PA behavior compared to those employed. Leisure time PA activity has been shown to increase after retirement, which might be of vigorous or moderate intensity </w:t>
      </w:r>
      <w:r w:rsidR="0031296C" w:rsidRPr="00162B16">
        <w:rPr>
          <w:color w:val="auto"/>
        </w:rPr>
        <w:fldChar w:fldCharType="begin" w:fldLock="1"/>
      </w:r>
      <w:r w:rsidR="003610B8" w:rsidRPr="00162B16">
        <w:rPr>
          <w:color w:val="auto"/>
        </w:rPr>
        <w:instrText>ADDIN CSL_CITATION {"citationItems":[{"id":"ITEM-1","itemData":{"DOI":"10.1016/j.amepre.2012.05.026","ISBN":"0749-3797","ISSN":"07493797","PMID":"22898127","abstract":"Context: The transition to retirement has been recognized as a turning point in determining physical activity and may present a critical \"window\" for promoting physical activity. This systematic review examined changes in physical activity across the retirement transition, whether these changes vary by SES, and what is known about predictors of these changes. Evidence acquisition: Peer-reviewed articles and gray research literature, published between January 1980 and July 2010 in any country or language, were identified. Longitudinal and cross-sectional observational studies were included. Study selection, quality assessment, data extraction, and synthesis were performed between July 2010 and March 2011. A harvest plot approach to visualizing the findings was combined with a narrative synthesis. Evidence synthesis: Of the 19 included studies, 11 examined changes in exercise, or leisure-time physical activity, or both; seven, changes in total physical activity; and one study, both. Most studies used single-item measures of physical activity (n=9) or custom questionnaires (n=6). Results suggested that exercise and leisure-time physical activity increased after the retirement transition, whereas findings regarding total physical activity were inconsistent. SES moderated the association, with low SES being associated with a decrease and high SES with an increase in physical activity. Evidence on predictors of change was scarce and methodologically weak. Conclusions: Evidence suggests that exercise and leisure-time physical activity increases after the retirement transition, but whether and how total physical activity changes is unclear. Imprecise physical activity measures used in primary studies limit conclusions, and this highlights the need for further research. ?? 2012 American Journal of Preventive Medicine.","author":[{"dropping-particle":"","family":"Barnett","given":"Inka","non-dropping-particle":"","parse-names":false,"suffix":""},{"dropping-particle":"","family":"Sluijs","given":"Esther M F","non-dropping-particle":"van","parse-names":false,"suffix":""},{"dropping-particle":"","family":"Ogilvie","given":"David","non-dropping-particle":"","parse-names":false,"suffix":""}],"container-title":"American Journal of Preventive Medicine","id":"ITEM-1","issue":"3","issued":{"date-parts":[["2012"]]},"note":"From Duplicate 2 (Physical activity and transitioning to retirement: a systematic review - Barnett, Inka; van Sluijs, Esther M F; Ogilvie, David)\n\nFrom Duplicate 2 (Physical activity and transitioning to retirement: a systematic review - Barnett, Inka; van Sluijs, Esther M F; Ogilvie, David)\n\ndiscussion 206. (PMID: 12782543). Cites: Am J Prev Med. 2003 Oct;25(3 Suppl 2):129-36. (PMID: 14552936). Cites: Br J Cancer. 2004 Jan 26;90(2):299-303. (PMID: 14735167). Cites: Int J Aging Hum Dev. 2004;59(1):63-84. (PMID: 15453412). Cites: Q J Exp Physiol. 1986 Jan;71(1):47-58. (PMID: 3952261). Cites: Int J Aging Hum Dev. 1991;33(2):151-69. (PMID: 1955209). Cites: Clin Geriatr Med. 1992 Feb;8(1):1-17. (PMID: 1576567). Cites: J Gerontol B Psychol Sci Soc Sci. 1995 Jan;50(1):S59-S61. (PMID: 7757831). Cites: Med Sci Sports Exerc. 1996 May;28(5):596-600. (PMID: 9148090). Cites: Med Sci Sports Exerc. 1998 Jun;30(6):992-1008. (PMID: 9624662). Cites: J Aging Health. 1996 Nov;8(4):467-88. (PMID: 10182382). Cites: Soc Sci Med. 2005 May;60(9):1987-2010. (PMID: 15743649). Cites: Am J Prev Med. 2005 Apr;28(3):298-304. (PMID: 15766620). Cites: Eur J Public Health. 2005 Jun;15(3):317-22. (PMID: 15941745). Cites: Gerontologist. 2006 Aug;46(4):514-23. (PMID: 16921005). Cites: J Gerontol B Psychol Sci Soc Sci. 2006 Sep;61(5):S267-73. (PMID: 16960240). Cites: Promot Educ. 2006;13(2):92-103. (PMID: 17017286). Cites: Am J Epidemiol. 2007 Jun 15;165(12):1356-63. (PMID: 17420180). Cites: Eur J Epidemiol. 2007;22(6):353-62. (PMID: 17599242). Cites: Age Ageing. 2007 Nov;36(6):638-43. (PMID: 17906305). Cites: Med Sci Sports Exerc. 2008 Jan;40(1):181-8. (PMID: 18091006). Cites: BMC Med Res Methodol. 2008;8:8. (PMID: 18298827). Cites: Health Promot Int. 2008 Jun;23(2):160-72. (PMID: 18364364). Cites: J Aging Health. 2008 Oct;20(7):767-87. (PMID: 18559963). Cites: Eur J Public Health. 2008 Dec;18(6):644-9. (PMID: 18927184). Cites: Am J Prev Med. 2009 May;36(5):422-8. (PMID: 19269129). Cites: Gerontologist. 2009 Jun;49(3):397-406. (PMID: 19386829). Cites: Br J Sports Med. 2009 Jun;43(6):442-50. (PMID: 18487253). Cites: Ann Behav Med. 2009 Jun;37(3):294-305. (PMID: 19506989). Cites: Rejuvenation Res. 2010 Feb;13(1):105-14. (PMID: 20230284). Cites: Eur J Cardiovasc Prev Rehabil. 2010 Apr;17(2):127-39. (PMID: 20215971). Cites: Br J Sports Med. 2011 Mar;45(3):203-8. (PMID: 20484314). Cites: Fam Community Health. 2001 Jul;24(2):49-72. (PMID: 11373166). Cites: Am J Prev Med. 2001 Nov;21(4):306-12. (PMID: 11701302). Cites: J Gerontol B Psychol Sci Soc Sci. 2002 May;57(3):P212-22. (PMID: 11983732). Linking ISSN: 07493797. Subset: IM; Grant Information: MC_U106179474 United Kingdom Medical Research Council; United Kingdom Wellcome Trust Date of Electronic Publication: 20120901. Current Imprints: Publication: Amsterdam : Elsevier Science; Original Imprints: Publication: [New York, NY] : Oxford University Press, [c1985-","page":"329-336","publisher":"Elsevier Inc.","publisher-place":"Netherlands","title":"Physical activity and transitioning to retirement: A systematic review","type":"article-journal","volume":"43"},"uris":["http://www.mendeley.com/documents/?uuid=e0ddd2c9-5f31-4441-909c-4e66fb803eb8"]}],"mendeley":{"formattedCitation":"[10]","plainTextFormattedCitation":"[10]","previouslyFormattedCitation":"[10]"},"properties":{"noteIndex":0},"schema":"https://github.com/citation-style-language/schema/raw/master/csl-citation.json"}</w:instrText>
      </w:r>
      <w:r w:rsidR="0031296C" w:rsidRPr="00162B16">
        <w:rPr>
          <w:color w:val="auto"/>
        </w:rPr>
        <w:fldChar w:fldCharType="separate"/>
      </w:r>
      <w:r w:rsidR="00C77C01" w:rsidRPr="00162B16">
        <w:rPr>
          <w:noProof/>
          <w:color w:val="auto"/>
        </w:rPr>
        <w:t>[10]</w:t>
      </w:r>
      <w:r w:rsidR="0031296C" w:rsidRPr="00162B16">
        <w:rPr>
          <w:color w:val="auto"/>
        </w:rPr>
        <w:fldChar w:fldCharType="end"/>
      </w:r>
      <w:r w:rsidRPr="00162B16">
        <w:rPr>
          <w:color w:val="auto"/>
        </w:rPr>
        <w:t xml:space="preserve">. Similarly, our results indicate that there is a shift in intensity level. </w:t>
      </w:r>
    </w:p>
    <w:p w14:paraId="791B55A6" w14:textId="5937FEB2" w:rsidR="00455395" w:rsidRPr="00162B16" w:rsidRDefault="00A010EF" w:rsidP="00FA5FF3">
      <w:pPr>
        <w:pStyle w:val="MDPI31text"/>
        <w:rPr>
          <w:color w:val="auto"/>
        </w:rPr>
      </w:pPr>
      <w:r w:rsidRPr="00162B16">
        <w:rPr>
          <w:color w:val="auto"/>
        </w:rPr>
        <w:t>Leisure time PA</w:t>
      </w:r>
      <w:r w:rsidR="00455395" w:rsidRPr="00162B16">
        <w:rPr>
          <w:color w:val="auto"/>
        </w:rPr>
        <w:t xml:space="preserve"> tends to be higher in people with higher SES </w:t>
      </w:r>
      <w:r w:rsidR="0031296C" w:rsidRPr="00162B16">
        <w:rPr>
          <w:color w:val="auto"/>
        </w:rPr>
        <w:fldChar w:fldCharType="begin" w:fldLock="1"/>
      </w:r>
      <w:r w:rsidR="003610B8" w:rsidRPr="00162B16">
        <w:rPr>
          <w:color w:val="auto"/>
        </w:rPr>
        <w:instrText>ADDIN CSL_CITATION {"citationItems":[{"id":"ITEM-1","itemData":{"DOI":"10.1186/1479-5868-8-36","ISBN":"1479-5868","PMID":"21513555","abstract":"Background: Retirement is a major life change that is likely to affect lifestyles. The aim of this study was to examine changes in leisure-time physical activity of moderate and vigorous intensity among ageing employees facing transition to retirement over a follow-up of 5-7 years.; Methods: The baseline data were collected by questionnaire surveys in 2000-2002 among 40-60-year-old employees of the City of Helsinki. A follow-up survey was conducted among the baseline respondents in 2007 (n=7332, response rate 83%). Those who were on disability retirement at the follow-up were distinguished from old-age retirees. Leisure-time physical activity was measured using similar questions in both surveys.; Results: Old-age retirees increased significantly their time spent in moderate-intensity physical activity: women 31 minutes per week and men 42 minutes per week on average. Such changes were not found among disability retirees or those remaining employed. There were no changes in vigorous activity. Leisure-time physical inactivity at follow-up was lower among old-age retirees compared with employees of nearly the same age. Adjustments made for potential baseline covariates had no effects on these findings.; Conclusions: Transition to old-age retirement was associated with an increase in moderate-intensity leisure-time physical activity and a decrease in the proportion of inactive. Encouraging people to leisure-time physical activity after retirement is worthwhile as the increase in free time brings new possibilities for it.; © 2011 Lahti et al; licensee BioMed Central Ltd.","author":[{"dropping-particle":"","family":"Lahti","given":"Jouni","non-dropping-particle":"","parse-names":false,"suffix":""},{"dropping-particle":"","family":"Laaksonen","given":"Mikko","non-dropping-particle":"","parse-names":false,"suffix":""},{"dropping-particle":"","family":"Lahelma","given":"Eero","non-dropping-particle":"","parse-names":false,"suffix":""},{"dropping-particle":"","family":"Rahkonen","given":"Ossi","non-dropping-particle":"","parse-names":false,"suffix":""}],"container-title":"Int J Behav Nutr Phys Act","id":"ITEM-1","issued":{"date-parts":[["2011"]]},"note":"Date of Electronic Publication: 2011 Apr 23. ; Original Imprints: Publication: [London] : BioMed Central, c2004-","page":"36","publisher":"BioMed Central","publisher-place":"England","title":"Changes in leisure-time physical activity after transition to retirement: a follow-up study","type":"article-journal","volume":"8"},"uris":["http://www.mendeley.com/documents/?uuid=bbe3ca33-1172-4261-b4bb-24812ba8e54f"]}],"mendeley":{"formattedCitation":"[31]","plainTextFormattedCitation":"[31]","previouslyFormattedCitation":"[30]"},"properties":{"noteIndex":0},"schema":"https://github.com/citation-style-language/schema/raw/master/csl-citation.json"}</w:instrText>
      </w:r>
      <w:r w:rsidR="0031296C" w:rsidRPr="00162B16">
        <w:rPr>
          <w:color w:val="auto"/>
        </w:rPr>
        <w:fldChar w:fldCharType="separate"/>
      </w:r>
      <w:r w:rsidR="003610B8" w:rsidRPr="00162B16">
        <w:rPr>
          <w:noProof/>
          <w:color w:val="auto"/>
        </w:rPr>
        <w:t>[31]</w:t>
      </w:r>
      <w:r w:rsidR="0031296C" w:rsidRPr="00162B16">
        <w:rPr>
          <w:color w:val="auto"/>
        </w:rPr>
        <w:fldChar w:fldCharType="end"/>
      </w:r>
      <w:r w:rsidR="00455395" w:rsidRPr="00162B16">
        <w:rPr>
          <w:color w:val="auto"/>
        </w:rPr>
        <w:t xml:space="preserve">. Education was used as a proxy for SES. The education levels in the studied cohorts increased along the surveyed years. This study found no correlation between education and PA intensities. A possible explanation is that SES is a non-static construct and cross-sectional education might not ascertain these differences </w:t>
      </w:r>
      <w:r w:rsidR="0031296C" w:rsidRPr="00162B16">
        <w:rPr>
          <w:color w:val="auto"/>
        </w:rPr>
        <w:fldChar w:fldCharType="begin" w:fldLock="1"/>
      </w:r>
      <w:r w:rsidR="003610B8" w:rsidRPr="00162B16">
        <w:rPr>
          <w:color w:val="auto"/>
        </w:rPr>
        <w:instrText>ADDIN CSL_CITATION {"citationItems":[{"id":"ITEM-1","itemData":{"DOI":"10.1016/j.physbeh.2017.03.040","ISBN":"3902264330","author":[{"dropping-particle":"","family":"Usselman","given":"E.T.","non-dropping-particle":"","parse-names":false,"suffix":""},{"dropping-particle":"V","family":"Diez-Roux","given":"Ana","non-dropping-particle":"","parse-names":false,"suffix":""},{"dropping-particle":"","family":"Franklin","given":"T.G.","non-dropping-particle":"","parse-names":false,"suffix":""},{"dropping-particle":"","family":"Carnethon","given":"M.","non-dropping-particle":"","parse-names":false,"suffix":""},{"dropping-particle":"","family":"Lutsey","given":"P.L.","non-dropping-particle":"","parse-names":false,"suffix":""},{"dropping-particle":"","family":"Ni","given":"H.","non-dropping-particle":"","parse-names":false,"suffix":""},{"dropping-particle":"","family":"O'Morain","given":"E.O.","non-dropping-particle":"","parse-names":false,"suffix":""},{"dropping-particle":"","family":"Shrager","given":"S.","non-dropping-particle":"","parse-names":false,"suffix":""}],"container-title":"Soc Sci Med","id":"ITEM-1","issue":"3","issued":{"date-parts":[["2009"]]},"page":"444-451","title":"Life-course socioeconomic positions and subclinical atherosclerosis in the multi-ethnic study of atherosclerosis","type":"article-journal","volume":"68"},"uris":["http://www.mendeley.com/documents/?uuid=19679705-84ad-4af3-a285-d06948d9aa15"]}],"mendeley":{"formattedCitation":"[37]","plainTextFormattedCitation":"[37]","previouslyFormattedCitation":"[36]"},"properties":{"noteIndex":0},"schema":"https://github.com/citation-style-language/schema/raw/master/csl-citation.json"}</w:instrText>
      </w:r>
      <w:r w:rsidR="0031296C" w:rsidRPr="00162B16">
        <w:rPr>
          <w:color w:val="auto"/>
        </w:rPr>
        <w:fldChar w:fldCharType="separate"/>
      </w:r>
      <w:r w:rsidR="003610B8" w:rsidRPr="00162B16">
        <w:rPr>
          <w:noProof/>
          <w:color w:val="auto"/>
        </w:rPr>
        <w:t>[37]</w:t>
      </w:r>
      <w:r w:rsidR="0031296C" w:rsidRPr="00162B16">
        <w:rPr>
          <w:color w:val="auto"/>
        </w:rPr>
        <w:fldChar w:fldCharType="end"/>
      </w:r>
      <w:r w:rsidR="00455395" w:rsidRPr="00162B16">
        <w:rPr>
          <w:color w:val="auto"/>
        </w:rPr>
        <w:t>.</w:t>
      </w:r>
    </w:p>
    <w:p w14:paraId="28B1B273" w14:textId="4CA2FD91" w:rsidR="00455395" w:rsidRPr="00162B16" w:rsidRDefault="0029788E" w:rsidP="00FA5FF3">
      <w:pPr>
        <w:pStyle w:val="MDPI31text"/>
        <w:rPr>
          <w:color w:val="auto"/>
        </w:rPr>
      </w:pPr>
      <w:r w:rsidRPr="00162B16">
        <w:rPr>
          <w:color w:val="auto"/>
        </w:rPr>
        <w:t xml:space="preserve">There was a trend for people </w:t>
      </w:r>
      <w:r w:rsidR="00455395" w:rsidRPr="00162B16">
        <w:rPr>
          <w:color w:val="auto"/>
        </w:rPr>
        <w:t xml:space="preserve">in retirement </w:t>
      </w:r>
      <w:r w:rsidR="00A51061" w:rsidRPr="00162B16">
        <w:rPr>
          <w:color w:val="auto"/>
        </w:rPr>
        <w:t xml:space="preserve">to undertake </w:t>
      </w:r>
      <w:r w:rsidR="00455395" w:rsidRPr="00162B16">
        <w:rPr>
          <w:color w:val="auto"/>
        </w:rPr>
        <w:t xml:space="preserve">more walking behavior measured in MET min per week when compared to those in </w:t>
      </w:r>
      <w:proofErr w:type="gramStart"/>
      <w:r w:rsidR="00455395" w:rsidRPr="00162B16">
        <w:rPr>
          <w:color w:val="auto"/>
        </w:rPr>
        <w:t>employment</w:t>
      </w:r>
      <w:proofErr w:type="gramEnd"/>
      <w:r w:rsidRPr="00162B16">
        <w:rPr>
          <w:color w:val="auto"/>
        </w:rPr>
        <w:t xml:space="preserve"> but this did not reach statistical significance</w:t>
      </w:r>
      <w:r w:rsidR="00455395" w:rsidRPr="00162B16">
        <w:rPr>
          <w:color w:val="auto"/>
        </w:rPr>
        <w:t xml:space="preserve">. Other studies </w:t>
      </w:r>
      <w:r w:rsidRPr="00162B16">
        <w:rPr>
          <w:color w:val="auto"/>
        </w:rPr>
        <w:t xml:space="preserve">have </w:t>
      </w:r>
      <w:r w:rsidR="00455395" w:rsidRPr="00162B16">
        <w:rPr>
          <w:color w:val="auto"/>
        </w:rPr>
        <w:t>found a</w:t>
      </w:r>
      <w:r w:rsidRPr="00162B16">
        <w:rPr>
          <w:color w:val="auto"/>
        </w:rPr>
        <w:t xml:space="preserve"> significan</w:t>
      </w:r>
      <w:r w:rsidR="00A51061" w:rsidRPr="00162B16">
        <w:rPr>
          <w:color w:val="auto"/>
        </w:rPr>
        <w:t>t</w:t>
      </w:r>
      <w:r w:rsidR="00455395" w:rsidRPr="00162B16">
        <w:rPr>
          <w:color w:val="auto"/>
        </w:rPr>
        <w:t xml:space="preserve"> increase in walking activity after retirement </w:t>
      </w:r>
      <w:r w:rsidR="0031296C" w:rsidRPr="00162B16">
        <w:rPr>
          <w:color w:val="auto"/>
        </w:rPr>
        <w:fldChar w:fldCharType="begin" w:fldLock="1"/>
      </w:r>
      <w:r w:rsidR="003610B8" w:rsidRPr="00162B16">
        <w:rPr>
          <w:color w:val="auto"/>
        </w:rPr>
        <w:instrText>ADDIN CSL_CITATION {"citationItems":[{"id":"ITEM-1","itemData":{"DOI":"10.1186/1479-5868-8-36","ISBN":"1479-5868","PMID":"21513555","abstract":"Background: Retirement is a major life change that is likely to affect lifestyles. The aim of this study was to examine changes in leisure-time physical activity of moderate and vigorous intensity among ageing employees facing transition to retirement over a follow-up of 5-7 years.; Methods: The baseline data were collected by questionnaire surveys in 2000-2002 among 40-60-year-old employees of the City of Helsinki. A follow-up survey was conducted among the baseline respondents in 2007 (n=7332, response rate 83%). Those who were on disability retirement at the follow-up were distinguished from old-age retirees. Leisure-time physical activity was measured using similar questions in both surveys.; Results: Old-age retirees increased significantly their time spent in moderate-intensity physical activity: women 31 minutes per week and men 42 minutes per week on average. Such changes were not found among disability retirees or those remaining employed. There were no changes in vigorous activity. Leisure-time physical inactivity at follow-up was lower among old-age retirees compared with employees of nearly the same age. Adjustments made for potential baseline covariates had no effects on these findings.; Conclusions: Transition to old-age retirement was associated with an increase in moderate-intensity leisure-time physical activity and a decrease in the proportion of inactive. Encouraging people to leisure-time physical activity after retirement is worthwhile as the increase in free time brings new possibilities for it.; © 2011 Lahti et al; licensee BioMed Central Ltd.","author":[{"dropping-particle":"","family":"Lahti","given":"Jouni","non-dropping-particle":"","parse-names":false,"suffix":""},{"dropping-particle":"","family":"Laaksonen","given":"Mikko","non-dropping-particle":"","parse-names":false,"suffix":""},{"dropping-particle":"","family":"Lahelma","given":"Eero","non-dropping-particle":"","parse-names":false,"suffix":""},{"dropping-particle":"","family":"Rahkonen","given":"Ossi","non-dropping-particle":"","parse-names":false,"suffix":""}],"container-title":"Int J Behav Nutr Phys Act","id":"ITEM-1","issued":{"date-parts":[["2011"]]},"note":"Date of Electronic Publication: 2011 Apr 23. ; Original Imprints: Publication: [London] : BioMed Central, c2004-","page":"36","publisher":"BioMed Central","publisher-place":"England","title":"Changes in leisure-time physical activity after transition to retirement: a follow-up study","type":"article-journal","volume":"8"},"uris":["http://www.mendeley.com/documents/?uuid=bbe3ca33-1172-4261-b4bb-24812ba8e54f"]},{"id":"ITEM-2","itemData":{"ISBN":"0002-9262","PMID":"11943686","abstract":"Cross-sectional data suggest that leisure-time physical activity may increase during retirement. Prospective population-based studies are necessary to characterize leisure activity patterns through retirement among the same persons to verify this observation. Therefore, the purpose of this study was to describe the influence of retirement on leisure activity using data from Atherosclerosis Risk in Communities Study cohort participants aged 45-64 years at baseline. Physical activity was measured by the Baecke questionnaire in 1,825 African-American and 5,957 White participants who were working at the initial visit (1986-1989) and either retired or working 6 years later (1993-1995). Participants who retired during follow-up were more likely to increase their sport participation and television watching than those who continued to work over the 6-year period. Among those reporting sport or exercise at baseline, those retiring over follow-up were more likely to maintain their sport and exercise participation than those who continued to work across race-gender groups. Among those not reporting sport or exercise at baseline, those who retired were more likely to adopt activity than those who continued to work except for African-American women. In this study, retirement was associated with gains in sport and exercise participation as well as television watching.;","author":[{"dropping-particle":"","family":"Evenson","given":"Kelly R","non-dropping-particle":"","parse-names":false,"suffix":""},{"dropping-particle":"","family":"Rosamond","given":"Wayne D","non-dropping-particle":"","parse-names":false,"suffix":""},{"dropping-particle":"","family":"Cai","given":"Jianwen","non-dropping-particle":"","parse-names":false,"suffix":""},{"dropping-particle":"V","family":"Diez-Roux","given":"Ana","non-dropping-particle":"","parse-names":false,"suffix":""},{"dropping-particle":"","family":"Brancati","given":"Frederick L","non-dropping-particle":"","parse-names":false,"suffix":""}],"container-title":"American Journal Of Epidemiology","id":"ITEM-2","issue":"8","issued":{"date-parts":[["2002"]]},"note":"Grant Information: 5-T32-HL007055 United States HL NHLBI NIH HHS; N01-HC-55015 United States HC NHLBI NIH HHS; N01-HC-55016 United States HC NHLBI NIH HHS; N01-HC-55018 United States HC NHLBI NIH HHS; N01-HC-55019 United States HC NHLBI NIH HHS; N01-HC-55020 United States HC NHLBI NIH HHS; N01-HC-55021 United States HC NHLBI NIH HHS; N01-HC-55022 United States HC NHLBI NIH HHS Date of Electronic Publication: 20020415. Current Imprints: Publication: Cary, NC : Oxford University Press; Original Imprints: Publication: Baltimore, School of Hygiene and Public Health of Johns Hopkins Univ.","page":"692-699","publisher":"Oxford University Press","publisher-place":"United States","title":"Influence of retirement on leisure-time physical activity: the atherosclerosis risk in communities study","type":"article-journal","volume":"155"},"uris":["http://www.mendeley.com/documents/?uuid=ea8b5608-fecb-43c8-bf44-534384153386"]},{"id":"ITEM-3","itemData":{"DOI":"10.1186/1479-5868-7-14","ISBN":"1479-5868","PMID":"20181088","abstract":"Background: Longitudinal studies on physical activity patterns around retirement age are scarce and provide divergent findings. Little is known about changes in sedentary behaviour in this context. Our aim was to investigate relationships between retirement and 3-year changes in leisure-time physical activity (LTPA) patterns and sedentary behaviour in middle-aged French adults.; Methods: Past-year LTPA and sedentary behaviour (watching television) were assessed in 1998 and 2001 using the Modifiable Activity Questionnaire on participants in the SU.VI.MAX (Supplementation with Antioxidants and Minerals) study. A total of 698 men and 691 women aged 45-64 were included in this analysis. Comparisons were made between subjects who had retired between 1998 and 2001 and those who continued to work, using the Chi-square test, Student t-test, Wilcoxon rank test or covariance analysis where appropriate.; Results: 20.1% of men and 15.6% of women retired during follow-up. The baseline LTPA level was similar between subjects who retired during follow-up and those who continued to work. Mean LTPA increased by about 2 h/week in men and women who had retired, whereas no change was observed in employed persons. The positive change in LTPA following retirement was mainly related to an increase in activities of moderate intensity, such as walking. Retirement did not modify the ranking of the most frequently performed LTPAs, but the number of participants and the duration increased through retirement. In men, the increase in time spent watching TV was more than twice as high in retirees as in workers (+40.5 vs. +15.0 min/day, P &lt; 0.0001). The same tendency was observed among women, but was borderline non-significant (+33.5 vs. +19.9 min/day, P = 0.05). In women, retirees who increased their walking duration by 2 h/week or more also decreased time spent watching TV by 11.5 min/day.; Conclusions: Retirement was associated with both an increase in LTPAs and in time spent watching TV, suggesting that retirement is an important period not only for promoting physical activity, but also for limiting sedentary behaviour.;","author":[{"dropping-particle":"","family":"Touvier","given":"Mathilde","non-dropping-particle":"","parse-names":false,"suffix":""},{"dropping-particle":"","family":"Bertrais","given":"Sandrine","non-dropping-particle":"","parse-names":false,"suffix":""},{"dropping-particle":"","family":"Charreire","given":"Hélène","non-dropping-particle":"","parse-names":false,"suffix":""},{"dropping-particle":"","family":"Vergnaud","given":"Anne-Claire","non-dropping-particle":"","parse-names":false,"suffix":""},{"dropping-particle":"","family":"Hercberg","given":"Serge","non-dropping-particle":"","parse-names":false,"suffix":""},{"dropping-particle":"","family":"Oppert","given":"Jean-Michel","non-dropping-particle":"","parse-names":false,"suffix":""}],"container-title":"Int J Behav Nutr Phys Act","id":"ITEM-3","issued":{"date-parts":[["2010"]]},"note":"discussion 206. (PMID: 12782543). Cites: Am J Public Health. 2004 Sep;94(9):1560-6. (PMID: 15333315). Cites: Arch Intern Med. 2004 Nov 22;164(21):2335-42. (PMID: 15557412). Cites: BMJ. 2005 Jan 22;330(7484):189-91. (PMID: 15661784). Cites: Obes Res. 2005 May;13(5):936-44. (PMID: 15919848). Cites: Eur J Public Health. 2005 Jun;15(3):317-22. (PMID: 15941745). Cites: Am J Epidemiol. 2005 Oct 1;162(7):607-17. (PMID: 16120711). Cites: J Am Diet Assoc. 2006 May;106(5):698-705. (PMID: 16647327). Cites: Am J Epidemiol. 2007 Jun 15;165(12):1356-63. (PMID: 17420180). Cites: JAMA. 2007 May 16;297(19):2081-91. (PMID: 17507344). Cites: Circulation. 2007 Aug 28;116(9):1081-93. (PMID: 17671237). Cites: Am J Prev Med. 2007 Dec;33(6):502-4. (PMID: 18022068). Cites: Ann Behav Med. 2008 Apr;35(2):245-50. (PMID: 18357498). Cites: Int J Behav Nutr Phys Act. 2008;5:35. (PMID: 18590570). Cites: Exerc Sport Sci Rev. 2008 Oct;36(4):173-8. (PMID: 18815485). Cites: Eur J Public Health. 2008 Dec;18(6):644-9. (PMID: 18927184). Cites: Obesity (Silver Spring). 2009 Mar;17(3):487-93. (PMID: 19238138). Cites: Am J Prev Med. 2009 May;36(5):422-8. (PMID: 19269129). Cites: J Aging Phys Act. 2009 Jan;17(1):46-56. (PMID: 19299838). Cites: Diabetes Care. 1990 Apr;13(4):401-11. (PMID: 2318100). Linking ISSN: 14795868. Subset: PubMed-not-MEDLINE; Date of Electronic Publication: 2010 Feb 04. ; Original Imprints: Publication: [London] : BioMed Central, c2004-","page":"14","publisher":"BioMed Central","publisher-place":"England","title":"Changes in leisure-time physical activity and sedentary behaviour at retirement: a prospective study in middle-aged French subjects","type":"article-journal","volume":"7"},"uris":["http://www.mendeley.com/documents/?uuid=9220b025-0663-4aa2-8dba-a110c8dce5b4"]}],"mendeley":{"formattedCitation":"[31,38,39]","plainTextFormattedCitation":"[31,38,39]","previouslyFormattedCitation":"[30,37,38]"},"properties":{"noteIndex":0},"schema":"https://github.com/citation-style-language/schema/raw/master/csl-citation.json"}</w:instrText>
      </w:r>
      <w:r w:rsidR="0031296C" w:rsidRPr="00162B16">
        <w:rPr>
          <w:color w:val="auto"/>
        </w:rPr>
        <w:fldChar w:fldCharType="separate"/>
      </w:r>
      <w:r w:rsidR="003610B8" w:rsidRPr="00162B16">
        <w:rPr>
          <w:noProof/>
          <w:color w:val="auto"/>
        </w:rPr>
        <w:t>[31,38,39]</w:t>
      </w:r>
      <w:r w:rsidR="0031296C" w:rsidRPr="00162B16">
        <w:rPr>
          <w:color w:val="auto"/>
        </w:rPr>
        <w:fldChar w:fldCharType="end"/>
      </w:r>
      <w:r w:rsidR="00455395" w:rsidRPr="00162B16">
        <w:rPr>
          <w:color w:val="auto"/>
        </w:rPr>
        <w:t xml:space="preserve">. These studies followed people across their retirement and looked at individual difference in PA behavior. Malta exhibits a car culture with 80% of the population using the car to commute even for the shortest distances with trips that could be walked in 10 minutes </w:t>
      </w:r>
      <w:r w:rsidR="0031296C" w:rsidRPr="00162B16">
        <w:rPr>
          <w:color w:val="auto"/>
        </w:rPr>
        <w:fldChar w:fldCharType="begin" w:fldLock="1"/>
      </w:r>
      <w:r w:rsidR="003610B8" w:rsidRPr="00162B16">
        <w:rPr>
          <w:color w:val="auto"/>
        </w:rPr>
        <w:instrText>ADDIN CSL_CITATION {"citationItems":[{"id":"ITEM-1","itemData":{"author":[{"dropping-particle":"","family":"Transport Malta","given":"","non-dropping-particle":"","parse-names":false,"suffix":""}],"id":"ITEM-1","issued":{"date-parts":[["2010"]]},"number-of-pages":"25","publisher-place":"Malta","title":"National Household Travel Survey 2010","type":"report"},"uris":["http://www.mendeley.com/documents/?uuid=35ed7521-b74f-43b3-87f2-054ad6b4dfe1"]}],"mendeley":{"formattedCitation":"[40]","plainTextFormattedCitation":"[40]","previouslyFormattedCitation":"[39]"},"properties":{"noteIndex":0},"schema":"https://github.com/citation-style-language/schema/raw/master/csl-citation.json"}</w:instrText>
      </w:r>
      <w:r w:rsidR="0031296C" w:rsidRPr="00162B16">
        <w:rPr>
          <w:color w:val="auto"/>
        </w:rPr>
        <w:fldChar w:fldCharType="separate"/>
      </w:r>
      <w:r w:rsidR="003610B8" w:rsidRPr="00162B16">
        <w:rPr>
          <w:noProof/>
          <w:color w:val="auto"/>
        </w:rPr>
        <w:t>[40]</w:t>
      </w:r>
      <w:r w:rsidR="0031296C" w:rsidRPr="00162B16">
        <w:rPr>
          <w:color w:val="auto"/>
        </w:rPr>
        <w:fldChar w:fldCharType="end"/>
      </w:r>
      <w:r w:rsidR="00455395" w:rsidRPr="00162B16">
        <w:rPr>
          <w:color w:val="auto"/>
        </w:rPr>
        <w:t xml:space="preserve">. This might explain as to why no statistical difference </w:t>
      </w:r>
      <w:r w:rsidR="00455395" w:rsidRPr="00162B16">
        <w:rPr>
          <w:color w:val="auto"/>
        </w:rPr>
        <w:lastRenderedPageBreak/>
        <w:t>was found between those employed and unemployed for car use, being high across all age groups.</w:t>
      </w:r>
    </w:p>
    <w:p w14:paraId="4AA0B5E6" w14:textId="3D5084D1" w:rsidR="00B3256B" w:rsidRPr="00162B16" w:rsidRDefault="00B3256B" w:rsidP="00B3256B">
      <w:pPr>
        <w:pStyle w:val="MDPI31text"/>
        <w:rPr>
          <w:color w:val="auto"/>
        </w:rPr>
      </w:pPr>
      <w:r w:rsidRPr="00162B16">
        <w:rPr>
          <w:color w:val="auto"/>
        </w:rPr>
        <w:t>In analyzing the data on total MET minutes per week, for employed and retired</w:t>
      </w:r>
      <w:r w:rsidR="00A51061" w:rsidRPr="00162B16">
        <w:rPr>
          <w:color w:val="auto"/>
        </w:rPr>
        <w:t xml:space="preserve"> people</w:t>
      </w:r>
      <w:r w:rsidRPr="00162B16">
        <w:rPr>
          <w:color w:val="auto"/>
        </w:rPr>
        <w:t>, longitudinally using multilevel modelling and considering survey years as a 2</w:t>
      </w:r>
      <w:r w:rsidRPr="00162B16">
        <w:rPr>
          <w:color w:val="auto"/>
          <w:vertAlign w:val="superscript"/>
        </w:rPr>
        <w:t>nd</w:t>
      </w:r>
      <w:r w:rsidRPr="00162B16">
        <w:rPr>
          <w:color w:val="auto"/>
        </w:rPr>
        <w:t xml:space="preserve"> level analysis, the data was found not to be statistically significant. One possible reason for this is the skewness in PA behavior which required data transformation. In using data transformation this could have influenced the statistical relationship </w:t>
      </w:r>
      <w:r w:rsidRPr="00162B16">
        <w:rPr>
          <w:color w:val="auto"/>
        </w:rPr>
        <w:fldChar w:fldCharType="begin" w:fldLock="1"/>
      </w:r>
      <w:r w:rsidRPr="00162B16">
        <w:rPr>
          <w:color w:val="auto"/>
        </w:rPr>
        <w:instrText>ADDIN CSL_CITATION {"citationItems":[{"id":"ITEM-1","itemData":{"DOI":"10.3969/j.issn.1002-0829.2014.02","ISSN":"10020829","PMID":"25092958","abstract":"Summary: The log-transformation is widely used in biomedical and psychosocial research to deal with skewed data. This paper highlights serious problems in this classic approach for dealing with skewed data. Despite the common belief that the log transformation can decrease the variability of data and make data conform more closely to the normal distribution, this is usually not the case. Moreover, the results of standard statistical tests performed on log-transformed data are often not relevant for the original, non-transformed data. We demonstrate these problems by presenting examples that use simulated data. We conclude that if used at all, data transformations must be applied very cautiously. We recommend that in most circumstances researchers abandon these traditional methods of dealing with skewed data and, instead, use newer analytic methods that are not dependent on the distribution the data, such as generalized estimating equations (GEE). Copyright© 2014 by Editorial Department of the Shanghai Archives of Psychiatry.","author":[{"dropping-particle":"","family":"Feng","given":"Changyong","non-dropping-particle":"","parse-names":false,"suffix":""},{"dropping-particle":"","family":"Wang","given":"Hongyue","non-dropping-particle":"","parse-names":false,"suffix":""},{"dropping-particle":"","family":"Lu","given":"Naiji","non-dropping-particle":"","parse-names":false,"suffix":""},{"dropping-particle":"","family":"Chen","given":"Tian","non-dropping-particle":"","parse-names":false,"suffix":""},{"dropping-particle":"","family":"He","given":"Hua","non-dropping-particle":"","parse-names":false,"suffix":""},{"dropping-particle":"","family":"Lu","given":"Ying","non-dropping-particle":"","parse-names":false,"suffix":""},{"dropping-particle":"","family":"Tu","given":"Xin M.","non-dropping-particle":"","parse-names":false,"suffix":""}],"container-title":"Shanghai Archives of Psychiatry","id":"ITEM-1","issue":"2","issued":{"date-parts":[["2014"]]},"page":"105-109","title":"Log-transformation and its implications for data analysis","type":"article-journal","volume":"26"},"uris":["http://www.mendeley.com/documents/?uuid=724ba9a8-acef-450b-8a94-9c23633a49e7"]}],"mendeley":{"formattedCitation":"[30]","plainTextFormattedCitation":"[30]","previouslyFormattedCitation":"[29]"},"properties":{"noteIndex":0},"schema":"https://github.com/citation-style-language/schema/raw/master/csl-citation.json"}</w:instrText>
      </w:r>
      <w:r w:rsidRPr="00162B16">
        <w:rPr>
          <w:color w:val="auto"/>
        </w:rPr>
        <w:fldChar w:fldCharType="separate"/>
      </w:r>
      <w:r w:rsidRPr="00162B16">
        <w:rPr>
          <w:noProof/>
          <w:color w:val="auto"/>
        </w:rPr>
        <w:t>[30]</w:t>
      </w:r>
      <w:r w:rsidRPr="00162B16">
        <w:rPr>
          <w:color w:val="auto"/>
        </w:rPr>
        <w:fldChar w:fldCharType="end"/>
      </w:r>
      <w:r w:rsidRPr="00162B16">
        <w:rPr>
          <w:color w:val="auto"/>
        </w:rPr>
        <w:t>. Individual level (1</w:t>
      </w:r>
      <w:r w:rsidRPr="00162B16">
        <w:rPr>
          <w:color w:val="auto"/>
          <w:vertAlign w:val="superscript"/>
        </w:rPr>
        <w:t>st</w:t>
      </w:r>
      <w:r w:rsidRPr="00162B16">
        <w:rPr>
          <w:color w:val="auto"/>
        </w:rPr>
        <w:t xml:space="preserve"> level) factors: being retired, male, low BMI, young age, and good self-rate health were found to predict PA behavior. However, these predictors were not strong in explaining PA behavior. This could mean that there are other variables, such as food intake and sleep, which data were not collected can predict PA behavior better and should be measured in future studies.</w:t>
      </w:r>
    </w:p>
    <w:p w14:paraId="786F8023" w14:textId="77777777" w:rsidR="00A11048" w:rsidRPr="00162B16" w:rsidRDefault="00A11048" w:rsidP="00A11048">
      <w:pPr>
        <w:pStyle w:val="MDPI31text"/>
        <w:rPr>
          <w:color w:val="auto"/>
        </w:rPr>
      </w:pPr>
      <w:r w:rsidRPr="00162B16">
        <w:rPr>
          <w:color w:val="auto"/>
        </w:rPr>
        <w:t xml:space="preserve">Similar to other studies </w:t>
      </w:r>
      <w:r w:rsidRPr="00162B16">
        <w:rPr>
          <w:color w:val="auto"/>
        </w:rPr>
        <w:fldChar w:fldCharType="begin" w:fldLock="1"/>
      </w:r>
      <w:r w:rsidRPr="00162B16">
        <w:rPr>
          <w:color w:val="auto"/>
        </w:rPr>
        <w:instrText>ADDIN CSL_CITATION {"citationItems":[{"id":"ITEM-1","itemData":{"DOI":"10.1001/archinternmed.2009.312","ISSN":"00039926","abstract":"Background: Cardiorespiratory fitness (CRF) in adults decreases with age and is influenced by lifestyle. Low CRF is associated with risk of diseases and the ability of older persons to function independently. We defined the longitudinal rate of CRF decline with aging and the association of aging and lifestyle with CRF. Methods: We studied a cohort of 3429 women and 16 889 men, aged 20 to 96 years, from the Aerobics Center Longitudinal Study who completed 2 to 33 health examinations from 1974 to 2006. The lifestyle variables were body mass index, self-reported aerobic exercise, and smoking behavior. Cardiorespiratory fitness was measured by a maximal Balke treadmill exercise test. Results: Linear mixed models regression analysis stratified by sex showed that the decline in CRF with age was not linear. After 45 years of age, CRF declined at an accelerated rate. For each unit of increase in body mass index, the CRF of women declined 0.20 metabolic equivalents (METs) (95% confidence interval, -0.21 to -0.19); that of men, 0.32METs(-0.33 to -0.20). Current smokers of both sexes also had lower CRF (-0.29 METs [95% confidence interval, -0.40 to -0.19] forwomenand -0.41METS[-0.44 to -0.38] for men). Cardiorespiratory fitness was positively associated with self-reported physical activity. Conclusions: Cardiorespiratory fitness in men and women declines at a nonlinear rate that accelerates after 45 years of age. Maintaining a low BMI, being physically active, and not smoking are associated with higher CRF across the adult life span. ©2009 American Medical Association. All rights reserved.","author":[{"dropping-particle":"","family":"Jackson","given":"Andrew S.","non-dropping-particle":"","parse-names":false,"suffix":""},{"dropping-particle":"","family":"Sui","given":"Xuemei","non-dropping-particle":"","parse-names":false,"suffix":""},{"dropping-particle":"","family":"Hébert","given":"James R.","non-dropping-particle":"","parse-names":false,"suffix":""},{"dropping-particle":"","family":"Church","given":"Timothy S.","non-dropping-particle":"","parse-names":false,"suffix":""},{"dropping-particle":"","family":"Blair","given":"Steven N.","non-dropping-particle":"","parse-names":false,"suffix":""}],"container-title":"Archives of Internal Medicine","id":"ITEM-1","issue":"19","issued":{"date-parts":[["2009"]]},"page":"1781-1787","title":"Role of lifestyle and aging on the longitudinal change in cardiorespiratory fitness","type":"article-journal","volume":"169"},"uris":["http://www.mendeley.com/documents/?uuid=9194389d-01e2-4232-8b8e-46696ee0dcd6"]}],"mendeley":{"formattedCitation":"[33]","plainTextFormattedCitation":"[33]","previouslyFormattedCitation":"[32]"},"properties":{"noteIndex":0},"schema":"https://github.com/citation-style-language/schema/raw/master/csl-citation.json"}</w:instrText>
      </w:r>
      <w:r w:rsidRPr="00162B16">
        <w:rPr>
          <w:color w:val="auto"/>
        </w:rPr>
        <w:fldChar w:fldCharType="separate"/>
      </w:r>
      <w:r w:rsidRPr="00162B16">
        <w:rPr>
          <w:noProof/>
          <w:color w:val="auto"/>
        </w:rPr>
        <w:t>[33]</w:t>
      </w:r>
      <w:r w:rsidRPr="00162B16">
        <w:rPr>
          <w:color w:val="auto"/>
        </w:rPr>
        <w:fldChar w:fldCharType="end"/>
      </w:r>
      <w:r w:rsidRPr="00162B16">
        <w:rPr>
          <w:color w:val="auto"/>
        </w:rPr>
        <w:t xml:space="preserve">, when examining PA behavior with age this was only found to predict PA behavior in the multilevel model. Having a long-standing health problem was associated with PA behavior in all 3 survey years and within the model. In all 3 surveys a long-standing health problem was the most significantly associated factor with total MET. The presence of a long-standing health problem was related to the presence of activity limitation and self-rated health. These covariates might influence PA behavior differently, due to the interaction between these different factors including them all together within the multilevel model would cause interaction between the variables as they measure conjoint factors. In old age, self-rated health is influenced by a person’s outlook to any concurrent abilities, whilst activity limitation is dependent on the person’s physical abilities </w:t>
      </w:r>
      <w:r w:rsidRPr="00162B16">
        <w:rPr>
          <w:color w:val="auto"/>
        </w:rPr>
        <w:fldChar w:fldCharType="begin" w:fldLock="1"/>
      </w:r>
      <w:r w:rsidRPr="00162B16">
        <w:rPr>
          <w:color w:val="auto"/>
        </w:rPr>
        <w:instrText>ADDIN CSL_CITATION {"citationItems":[{"id":"ITEM-1","itemData":{"DOI":"10.1177/0022146517750137","ISSN":"21506000","abstract":"Self-ratings of health (SRH) indicate current health-related quality of life and independently predict mortality. Studies show the SRH of older adults appears less influenced by physical health than the SRH of younger adults. But if physical health accounts less for the SRH of older adults, what factors take its place? To understand the relative contributions of social, emotional, and physical states to SRH by age, we analyzed data from the National Health Interview Survey 2006 to 2011 (N = 153,341). In age-stratified regressions, physical health and functional limitations declined as correlates of SRH for older age strata, while social factors, such as gender and race, increased in importance. Oaxaca-Blinder decomposition showed that if younger respondents had similar health conditions, they would rate their health more poorly than current cohorts of older adults do. The declining influence of physical health on SRH in old age appears to be due in part to displacement by social factors.","author":[{"dropping-particle":"","family":"Idler","given":"Ellen","non-dropping-particle":"","parse-names":false,"suffix":""},{"dropping-particle":"","family":"Cartwright","given":"Kate","non-dropping-particle":"","parse-names":false,"suffix":""}],"container-title":"Journal of Health and Social Behavior","id":"ITEM-1","issue":"1","issued":{"date-parts":[["2018"]]},"page":"74-93","title":"What Do We Rate When We Rate Our Health? Decomposing Age-related Contributions to Self-rated Health","type":"article-journal","volume":"59"},"uris":["http://www.mendeley.com/documents/?uuid=6dfa6d71-be2a-4d97-9936-5f948334a051"]}],"mendeley":{"formattedCitation":"[34]","plainTextFormattedCitation":"[34]","previouslyFormattedCitation":"[33]"},"properties":{"noteIndex":0},"schema":"https://github.com/citation-style-language/schema/raw/master/csl-citation.json"}</w:instrText>
      </w:r>
      <w:r w:rsidRPr="00162B16">
        <w:rPr>
          <w:color w:val="auto"/>
        </w:rPr>
        <w:fldChar w:fldCharType="separate"/>
      </w:r>
      <w:r w:rsidRPr="00162B16">
        <w:rPr>
          <w:noProof/>
          <w:color w:val="auto"/>
        </w:rPr>
        <w:t>[34]</w:t>
      </w:r>
      <w:r w:rsidRPr="00162B16">
        <w:rPr>
          <w:color w:val="auto"/>
        </w:rPr>
        <w:fldChar w:fldCharType="end"/>
      </w:r>
      <w:r w:rsidRPr="00162B16">
        <w:rPr>
          <w:color w:val="auto"/>
        </w:rPr>
        <w:t xml:space="preserve">. Self-rated health can influence the type of PA behavior undertaken, as it reflects a person’s outlook of self-ability </w:t>
      </w:r>
      <w:r w:rsidRPr="00162B16">
        <w:rPr>
          <w:color w:val="auto"/>
        </w:rPr>
        <w:fldChar w:fldCharType="begin" w:fldLock="1"/>
      </w:r>
      <w:r w:rsidRPr="00162B16">
        <w:rPr>
          <w:color w:val="auto"/>
        </w:rPr>
        <w:instrText>ADDIN CSL_CITATION {"citationItems":[{"id":"ITEM-1","itemData":{"DOI":"10.1080/08870446.2015.1014370","ISSN":"14768321","PMID":"25720739","abstract":"Objective: Positive self-perceptions of ageing are associated with better health; however, little is known about the potentially underlying mechanisms. The present longitudinal study examines whether the relationship between self-perceptions of ageing and self-rated health is mediated by physical activity in older adults with multiple chronic conditions. Design: A sample of 309 German community-dwelling older adults aged 65–85 years with two or more chronic conditions was assessed at three measurement occasions over 2.5 years. Participants provided information on self-perceptions of ageing, physical activity, self-rated health, number of chronic conditions and demographics (T1). Physical activity was reassessed six months later (T2) and self-rated health after 2.5 years (T3). Data were analysed using multiple regression and path analyses. Main outcome measures: Self-rated health and physical activity. Results: More positive self-perceptions of ageing were related to better self-rated health over a 2.5-year period controlling for confounding variables. Physical activity six months after T1 partially mediated this relationship. Conclusion: Having more positive self-perceptions of ageing is associated with higher levels of physical activity, which in turn predict better self-rated health over time. This supports the hypothesis of a behavioural pathway in the self-perceptions of ageing – health link.","author":[{"dropping-particle":"","family":"Beyer","given":"Ann Kristin","non-dropping-particle":"","parse-names":false,"suffix":""},{"dropping-particle":"","family":"Wolff","given":"Julia K.","non-dropping-particle":"","parse-names":false,"suffix":""},{"dropping-particle":"","family":"Warner","given":"Lisa M.","non-dropping-particle":"","parse-names":false,"suffix":""},{"dropping-particle":"","family":"Schüz","given":"Benjamin","non-dropping-particle":"","parse-names":false,"suffix":""},{"dropping-particle":"","family":"Wurm","given":"Susanne","non-dropping-particle":"","parse-names":false,"suffix":""}],"container-title":"Psychology and Health","id":"ITEM-1","issue":"6","issued":{"date-parts":[["2015"]]},"page":"671-685","publisher":"Routledge","title":"The role of physical activity in the relationship between self-perceptions of ageing and self-rated health in older adults","type":"article-journal","volume":"30"},"uris":["http://www.mendeley.com/documents/?uuid=6d4bdcd0-1d21-4f2e-b414-1146bf663dc5"]},{"id":"ITEM-2","itemData":{"DOI":"10.1136/bmjopen-2016-013257","ISBN":"2016013257","ISSN":"20446055","PMID":"28601816","abstract":"Objectives: The population of Estonia has one of the lowest life expectancies and health statuses in Europe. This is reflected in a lower perception of health among older adults. This study focuses on the role of health behaviour (smoking, alcohol consumption, physical activity and nutrition) in self-rated health, accounting for sociodemographic characteristics, activity limitations and long-term illnesses as well as satisfaction with life of older Estonian men and women. Design: We use representative cross-sectional data from Wave 4 of the Estonian Survey of Health, Ageing and Retirement in Europe, conducted mainly in 2011. Participants: Frequencies, χ2 tests and logistic regression models include respondents aged 50 years and older, with no upper age limit (n=6660). Results: Men have 20% higher odds (CI 1.02 to 1.43) of poor self-rated health. Being of foreign origin (OR 1.48; CI 1.24 to 1.77), having a basic (2.50; CI 2.06 to 3.00) or secondary (1.71; CI 1.43 to 2.04) education, being retired (2.00; CI 1.65 to 2.44) or staying at home (1.49; CI 1.16 to 1.93) and having activity limitations (3.25; CI 2.77 to 3.80) or long-term illnesses (4.78; CI 4.08 to 5.60) are related to poor self-rated health. Never being involved in vigorous (2.30; CI 1.90 to 2.79) or moderate physical activity (1.41; CI 1.02 to 1.94), and consuming legumes and eggs less frequently (1.25; CI 1.08 to 1.45) is associated with poorer self-rated health. Lower satisfaction with life accounts for some of the variation (2.28; CI 1.92 to 2.71). Conclusions: There is a strong cumulative effect of one's previous life course on the self-rated health of older adults in Estonia, suggesting that public health policies have long-term consequences rather than immediate consequences. Health services supporting health behaviours and targeting vulnerable population groups with specific sociodemographic characteristics and health problems may influence self-rated health for some. Public health services emphasising social activities or psychological aspects may be most successful in improving self-rated health of older Estonians through satisfaction with life.","author":[{"dropping-particle":"","family":"Abuladze","given":"Liili","non-dropping-particle":"","parse-names":false,"suffix":""},{"dropping-particle":"","family":"Kunder","given":"Nele","non-dropping-particle":"","parse-names":false,"suffix":""},{"dropping-particle":"","family":"Lang","given":"Katrin","non-dropping-particle":"","parse-names":false,"suffix":""},{"dropping-particle":"","family":"Vaask","given":"Sirje","non-dropping-particle":"","parse-names":false,"suffix":""}],"container-title":"BMJ Open","id":"ITEM-2","issue":"6","issued":{"date-parts":[["2017"]]},"page":"1-9","title":"Associations between self-rated health and health behaviour among older adults in Estonia: A cross-sectional analysis","type":"article-journal","volume":"7"},"uris":["http://www.mendeley.com/documents/?uuid=45e5f6cf-3945-4dc4-9db1-c33c65d65113"]}],"mendeley":{"formattedCitation":"[35,36]","plainTextFormattedCitation":"[35,36]","previouslyFormattedCitation":"[34,35]"},"properties":{"noteIndex":0},"schema":"https://github.com/citation-style-language/schema/raw/master/csl-citation.json"}</w:instrText>
      </w:r>
      <w:r w:rsidRPr="00162B16">
        <w:rPr>
          <w:color w:val="auto"/>
        </w:rPr>
        <w:fldChar w:fldCharType="separate"/>
      </w:r>
      <w:r w:rsidRPr="00162B16">
        <w:rPr>
          <w:noProof/>
          <w:color w:val="auto"/>
        </w:rPr>
        <w:t>[35,36]</w:t>
      </w:r>
      <w:r w:rsidRPr="00162B16">
        <w:rPr>
          <w:color w:val="auto"/>
        </w:rPr>
        <w:fldChar w:fldCharType="end"/>
      </w:r>
      <w:r w:rsidRPr="00162B16">
        <w:rPr>
          <w:color w:val="auto"/>
        </w:rPr>
        <w:t>. However, given that the study age range was fixed throughout the 3 surveys, the correlation between age and PA behavior could have been influenced.</w:t>
      </w:r>
    </w:p>
    <w:p w14:paraId="4417A40B" w14:textId="68BBA8B0" w:rsidR="00455395" w:rsidRPr="00162B16" w:rsidRDefault="00455395" w:rsidP="00FA5FF3">
      <w:pPr>
        <w:pStyle w:val="MDPI31text"/>
        <w:rPr>
          <w:color w:val="auto"/>
        </w:rPr>
      </w:pPr>
      <w:r w:rsidRPr="00162B16">
        <w:rPr>
          <w:color w:val="auto"/>
        </w:rPr>
        <w:t xml:space="preserve">Any increase in PA after retirement is believed to be short lived and a decrease in PA is expected thereafter </w:t>
      </w:r>
      <w:r w:rsidR="00C77C01" w:rsidRPr="00162B16">
        <w:rPr>
          <w:color w:val="auto"/>
        </w:rPr>
        <w:fldChar w:fldCharType="begin" w:fldLock="1"/>
      </w:r>
      <w:r w:rsidR="003610B8" w:rsidRPr="00162B16">
        <w:rPr>
          <w:color w:val="auto"/>
        </w:rPr>
        <w:instrText>ADDIN CSL_CITATION {"citationItems":[{"id":"ITEM-1","itemData":{"DOI":"10.1371/journal.pone.0234794","ISBN":"1111111111","ISSN":"19326203","PMID":"32569282","abstract":"Background: Physical activity (PA) is a fluctuating behavior and prone to change across the life course. Changes in PA may be particularly due to the experience of life events and transitions. For well-timed and successful PA interventions, it is important to understand when and why individuals take up or terminate PA. Objectives: This scoping review aims to examine the extent, range, and nature of research on the impact of life events and transitions on PA and to summarize key findings. Methods: A systematic literature search was conducted in PubMed, PsycINFO, PsycARTICLES, SPORTDiscus, and Web of Science. Articles were included if they had been published in peer-reviewed journals between 1998 and 2020 and assessed the impact of at least one life event or transition on PA. Results: 107 studies that assessed 72 distinct life events and transitions were included and summarized in ten categories. Events and transitions that are primarily associated with decreases in PA were starting cohabitation, getting married, pregnancy, evolving parenthood, and the transitions from kindergarten to primary school, from primary to secondary school, and from high school to college or into the labor market. Retirement was associated with increases in PA; yet, long-term trajectories across retirement indicated a subsequent drop in activity levels. Divorce was associated with no changes in PA. No trends could be identified for changing work conditions, quitting or losing a job, starting a new relationship, widowhood, moving, and diagnosis of illness. Conclusion: Life events and transitions can be conceptualized as natural interventions that occur across the life course and that are oftentimes associated with changes in PA behavior. Our study indicates that, despite some emerging trends, similar events do not necessarily have similar impacts on PA across individuals. It also shows that the research landscape is characterized by a lack of conceptual clarity and by disparate methodologies, making it difficult to synthesize results across studies.","author":[{"dropping-particle":"","family":"Gropper","given":"Hannes","non-dropping-particle":"","parse-names":false,"suffix":""},{"dropping-particle":"","family":"John","given":"Jannika M.","non-dropping-particle":"","parse-names":false,"suffix":""},{"dropping-particle":"","family":"Sudeck","given":"Gorden","non-dropping-particle":"","parse-names":false,"suffix":""},{"dropping-particle":"","family":"Thiel","given":"Ansgar","non-dropping-particle":"","parse-names":false,"suffix":""}],"container-title":"PLoS ONE","id":"ITEM-1","issue":"6 June","issued":{"date-parts":[["2020"]]},"page":"1-24","title":"The impact of life events and transitions on physical activity: A scoping review","type":"article-journal","volume":"15"},"uris":["http://www.mendeley.com/documents/?uuid=cd8a7398-94a4-4b3b-a92a-7ef1cfe27757"]}],"mendeley":{"formattedCitation":"[11]","plainTextFormattedCitation":"[11]","previouslyFormattedCitation":"[11]"},"properties":{"noteIndex":0},"schema":"https://github.com/citation-style-language/schema/raw/master/csl-citation.json"}</w:instrText>
      </w:r>
      <w:r w:rsidR="00C77C01" w:rsidRPr="00162B16">
        <w:rPr>
          <w:color w:val="auto"/>
        </w:rPr>
        <w:fldChar w:fldCharType="separate"/>
      </w:r>
      <w:r w:rsidR="00C77C01" w:rsidRPr="00162B16">
        <w:rPr>
          <w:noProof/>
          <w:color w:val="auto"/>
        </w:rPr>
        <w:t>[11]</w:t>
      </w:r>
      <w:r w:rsidR="00C77C01" w:rsidRPr="00162B16">
        <w:rPr>
          <w:color w:val="auto"/>
        </w:rPr>
        <w:fldChar w:fldCharType="end"/>
      </w:r>
      <w:r w:rsidRPr="00162B16">
        <w:rPr>
          <w:color w:val="auto"/>
        </w:rPr>
        <w:t xml:space="preserve">. This study indicates that there are other important factors which influence PA behavior when one </w:t>
      </w:r>
      <w:r w:rsidR="00433A29" w:rsidRPr="00162B16">
        <w:rPr>
          <w:color w:val="auto"/>
        </w:rPr>
        <w:t>retired</w:t>
      </w:r>
      <w:r w:rsidRPr="00162B16">
        <w:rPr>
          <w:color w:val="auto"/>
        </w:rPr>
        <w:t xml:space="preserve">. Retirement is a process with no universally accepted start date </w:t>
      </w:r>
      <w:r w:rsidR="0031296C" w:rsidRPr="00162B16">
        <w:rPr>
          <w:color w:val="auto"/>
        </w:rPr>
        <w:fldChar w:fldCharType="begin" w:fldLock="1"/>
      </w:r>
      <w:r w:rsidR="003610B8" w:rsidRPr="00162B16">
        <w:rPr>
          <w:color w:val="auto"/>
        </w:rPr>
        <w:instrText>ADDIN CSL_CITATION {"citationItems":[{"id":"ITEM-1","itemData":{"DOI":"10.3389/fpsyg.2017.01300","ISSN":"16641078","abstract":"Retirement is a major life event, and a positive adjustment to retirement is essential for maintaining physical and psychological well-being in later life. Previous research demonstrates that pre-retirement planning predicts post-retirement well-being. This study further explores the underlying mechanism between planning activities and post-retirement well-being. By applying the resource-based dynamic model (Wang et al., 2011), the present longitudinal study examines whether pre-retirement planning activities can increase the total resources of retirees, including tangible, mental and social resources, and consequently contribute to better psychological and physical well-being 1 year after actual retirement. A total of 118 Hong Kong Chinese retirees completed three assessments: Time 1 assessment was conducted 6 months before retirement, and Times 2 and 3 assessments were carried out 6 and 12 months, respectively, after retirement. Latent growth models were employed to examine changes in retirement resources and post-retirement well-being over time. Consistent with the proposition of the resource-based dynamic model, positive changes in well-being were observed in the retirees with increases in retirement resources between pre- and post-retirement phases. The results of the latent growth mediation models also support our prediction: retirees with more preparatory activities before retirement acquire greater resources at the initial stage, which contribute to positive changes in post-retirement well-being over time.","author":[{"dropping-particle":"","family":"Yeung","given":"Dannii Y.","non-dropping-particle":"","parse-names":false,"suffix":""},{"dropping-particle":"","family":"Zhou","given":"Xiaoyu","non-dropping-particle":"","parse-names":false,"suffix":""}],"container-title":"Frontiers in Psychology","id":"ITEM-1","issue":"JUL","issued":{"date-parts":[["2017"]]},"title":"Planning for retirement: Longitudinal effect on retirement resources and post-retirement well-being","type":"article-journal","volume":"8"},"uris":["http://www.mendeley.com/documents/?uuid=d470048e-6253-4ec6-a0e4-d5035e651626"]},{"id":"ITEM-2","itemData":{"DOI":"10.1037/a0022414","ISBN":"0003-066X","ISSN":"1935-990X","PMID":"21341882","abstract":"In this article, we review both theoretical and empirical advancements in retirement adjustment research. After reviewing and integrating current theories about retirement adjustment, we propose a resource-based dynamic perspective to apply to the understanding of retirement adjustment. We then review empirical findings that are associated with the key research questions in this literature: (a) What is the general impact of retirement on the individual? and (b) What are the factors that influence retirement adjustment quality? We also highlight important future research directions that may be fruitful for psychologists to pursue in this area.","author":[{"dropping-particle":"","family":"Wang","given":"Mo","non-dropping-particle":"","parse-names":false,"suffix":""},{"dropping-particle":"","family":"Henkens","given":"Kène","non-dropping-particle":"","parse-names":false,"suffix":""},{"dropping-particle":"","family":"Solinge","given":"Hanna","non-dropping-particle":"van","parse-names":false,"suffix":""}],"container-title":"American Psychologist","id":"ITEM-2","issue":"3","issued":{"date-parts":[["2011"]]},"page":"204-213","title":"Retirement adjustment: A review of theoretical and empirical advancements.","type":"article-journal","volume":"66"},"uris":["http://www.mendeley.com/documents/?uuid=97239583-46b7-4366-807b-fb8c2217a4df"]}],"mendeley":{"formattedCitation":"[42,43]","plainTextFormattedCitation":"[42,43]","previouslyFormattedCitation":"[41,42]"},"properties":{"noteIndex":0},"schema":"https://github.com/citation-style-language/schema/raw/master/csl-citation.json"}</w:instrText>
      </w:r>
      <w:r w:rsidR="0031296C" w:rsidRPr="00162B16">
        <w:rPr>
          <w:color w:val="auto"/>
        </w:rPr>
        <w:fldChar w:fldCharType="separate"/>
      </w:r>
      <w:r w:rsidR="003610B8" w:rsidRPr="00162B16">
        <w:rPr>
          <w:noProof/>
          <w:color w:val="auto"/>
        </w:rPr>
        <w:t>[42,43]</w:t>
      </w:r>
      <w:r w:rsidR="0031296C" w:rsidRPr="00162B16">
        <w:rPr>
          <w:color w:val="auto"/>
        </w:rPr>
        <w:fldChar w:fldCharType="end"/>
      </w:r>
      <w:r w:rsidRPr="00162B16">
        <w:rPr>
          <w:color w:val="auto"/>
        </w:rPr>
        <w:t xml:space="preserve">. Taking a resource-based dynamic process towards retirement, explains why other variables such as history of PA and self-efficacy might be more important predictors of PA post-retirement rather than employment status. Retirement adjustment is influenced by the person’s resources </w:t>
      </w:r>
      <w:r w:rsidR="0031296C" w:rsidRPr="00162B16">
        <w:rPr>
          <w:color w:val="auto"/>
        </w:rPr>
        <w:fldChar w:fldCharType="begin" w:fldLock="1"/>
      </w:r>
      <w:r w:rsidR="003610B8" w:rsidRPr="00162B16">
        <w:rPr>
          <w:color w:val="auto"/>
        </w:rPr>
        <w:instrText>ADDIN CSL_CITATION {"citationItems":[{"id":"ITEM-1","itemData":{"DOI":"10.1037/a0022414","ISBN":"0003-066X","ISSN":"1935-990X","PMID":"21341882","abstract":"In this article, we review both theoretical and empirical advancements in retirement adjustment research. After reviewing and integrating current theories about retirement adjustment, we propose a resource-based dynamic perspective to apply to the understanding of retirement adjustment. We then review empirical findings that are associated with the key research questions in this literature: (a) What is the general impact of retirement on the individual? and (b) What are the factors that influence retirement adjustment quality? We also highlight important future research directions that may be fruitful for psychologists to pursue in this area.","author":[{"dropping-particle":"","family":"Wang","given":"Mo","non-dropping-particle":"","parse-names":false,"suffix":""},{"dropping-particle":"","family":"Henkens","given":"Kène","non-dropping-particle":"","parse-names":false,"suffix":""},{"dropping-particle":"","family":"Solinge","given":"Hanna","non-dropping-particle":"van","parse-names":false,"suffix":""}],"container-title":"American Psychologist","id":"ITEM-1","issue":"3","issued":{"date-parts":[["2011"]]},"page":"204-213","title":"Retirement adjustment: A review of theoretical and empirical advancements.","type":"article-journal","volume":"66"},"uris":["http://www.mendeley.com/documents/?uuid=97239583-46b7-4366-807b-fb8c2217a4df"]}],"mendeley":{"formattedCitation":"[43]","plainTextFormattedCitation":"[43]","previouslyFormattedCitation":"[42]"},"properties":{"noteIndex":0},"schema":"https://github.com/citation-style-language/schema/raw/master/csl-citation.json"}</w:instrText>
      </w:r>
      <w:r w:rsidR="0031296C" w:rsidRPr="00162B16">
        <w:rPr>
          <w:color w:val="auto"/>
        </w:rPr>
        <w:fldChar w:fldCharType="separate"/>
      </w:r>
      <w:r w:rsidR="003610B8" w:rsidRPr="00162B16">
        <w:rPr>
          <w:noProof/>
          <w:color w:val="auto"/>
        </w:rPr>
        <w:t>[43]</w:t>
      </w:r>
      <w:r w:rsidR="0031296C" w:rsidRPr="00162B16">
        <w:rPr>
          <w:color w:val="auto"/>
        </w:rPr>
        <w:fldChar w:fldCharType="end"/>
      </w:r>
      <w:r w:rsidRPr="00162B16">
        <w:rPr>
          <w:color w:val="auto"/>
        </w:rPr>
        <w:t>, which difference might not be present when analyzing data at a population level.</w:t>
      </w:r>
    </w:p>
    <w:p w14:paraId="59FD11A9" w14:textId="543D9B61" w:rsidR="00455395" w:rsidRPr="00162B16" w:rsidRDefault="00FA5FF3" w:rsidP="00FA5FF3">
      <w:pPr>
        <w:pStyle w:val="MDPI22heading2"/>
        <w:spacing w:before="240"/>
        <w:rPr>
          <w:color w:val="auto"/>
        </w:rPr>
      </w:pPr>
      <w:r w:rsidRPr="00162B16">
        <w:rPr>
          <w:color w:val="auto"/>
        </w:rPr>
        <w:t xml:space="preserve">4.1. </w:t>
      </w:r>
      <w:r w:rsidR="00455395" w:rsidRPr="00162B16">
        <w:rPr>
          <w:color w:val="auto"/>
        </w:rPr>
        <w:t>Limitations and strengths</w:t>
      </w:r>
    </w:p>
    <w:p w14:paraId="5C9B6E2A" w14:textId="02434CCC" w:rsidR="00455395" w:rsidRPr="00162B16" w:rsidRDefault="00455395" w:rsidP="00D2168E">
      <w:pPr>
        <w:pStyle w:val="MDPI31text"/>
        <w:rPr>
          <w:color w:val="auto"/>
        </w:rPr>
      </w:pPr>
      <w:r w:rsidRPr="00162B16">
        <w:rPr>
          <w:color w:val="auto"/>
        </w:rPr>
        <w:t xml:space="preserve">This study is based on the analysis of secondary data, and therefore the data was not specifically collected for it, which creates limitations of result generalization specific to the effect of retirement </w:t>
      </w:r>
      <w:r w:rsidR="0031296C" w:rsidRPr="00162B16">
        <w:rPr>
          <w:color w:val="auto"/>
        </w:rPr>
        <w:fldChar w:fldCharType="begin" w:fldLock="1"/>
      </w:r>
      <w:r w:rsidR="003610B8" w:rsidRPr="00162B16">
        <w:rPr>
          <w:color w:val="auto"/>
        </w:rPr>
        <w:instrText xml:space="preserve">ADDIN CSL_CITATION {"citationItems":[{"id":"ITEM-1","itemData":{"DOI":"10.11919/j.issn.1002-0829.214171","ISBN":"1002-0829","ISSN":"10020829","PMID":"25642115","abstract":"The secondary analysis of existing data has become an increasingly popular method of enhancing the overall efficiency of the health research enterprise. But this effort depends on governments, funding agencies, and researchers making the data collected in primary research studies and in health-related registry systems available to qualified researchers who were not involved in the original research or in the creation and maintenance of the registry systems. The benefits of doing this are clear but the barriers are many, so the effort of increasing access to such material has been slow, particularly in low- and middleincome countries. This article introduces the rationale and concept of the secondary analysis of existing data, describes several sources of publicly available datasets, provides general guidelines for conducting secondary analyses of existing data, and discusses the advantages and disadvantages of analyzing existing data. </w:instrText>
      </w:r>
      <w:r w:rsidR="003610B8" w:rsidRPr="00162B16">
        <w:rPr>
          <w:rFonts w:ascii="SimSun" w:eastAsia="SimSun" w:hAnsi="SimSun" w:cs="SimSun" w:hint="eastAsia"/>
          <w:color w:val="auto"/>
        </w:rPr>
        <w:instrText>现有数据的二次分析已成为提升卫生研究机构</w:instrText>
      </w:r>
      <w:r w:rsidR="003610B8" w:rsidRPr="00162B16">
        <w:rPr>
          <w:color w:val="auto"/>
        </w:rPr>
        <w:instrText xml:space="preserve"> </w:instrText>
      </w:r>
      <w:r w:rsidR="003610B8" w:rsidRPr="00162B16">
        <w:rPr>
          <w:rFonts w:ascii="MS Mincho" w:eastAsia="MS Mincho" w:hAnsi="MS Mincho" w:cs="MS Mincho" w:hint="eastAsia"/>
          <w:color w:val="auto"/>
        </w:rPr>
        <w:instrText>整体效率的一</w:instrText>
      </w:r>
      <w:r w:rsidR="003610B8" w:rsidRPr="00162B16">
        <w:rPr>
          <w:rFonts w:ascii="MS Gothic" w:eastAsia="MS Gothic" w:hAnsi="MS Gothic" w:cs="MS Gothic" w:hint="eastAsia"/>
          <w:color w:val="auto"/>
        </w:rPr>
        <w:instrText>种日益流行的方法。</w:instrText>
      </w:r>
      <w:r w:rsidR="003610B8" w:rsidRPr="00162B16">
        <w:rPr>
          <w:rFonts w:ascii="SimSun" w:eastAsia="SimSun" w:hAnsi="SimSun" w:cs="SimSun" w:hint="eastAsia"/>
          <w:color w:val="auto"/>
        </w:rPr>
        <w:instrText>该工作取决于政府、</w:instrText>
      </w:r>
      <w:r w:rsidR="003610B8" w:rsidRPr="00162B16">
        <w:rPr>
          <w:color w:val="auto"/>
        </w:rPr>
        <w:instrText xml:space="preserve"> </w:instrText>
      </w:r>
      <w:r w:rsidR="003610B8" w:rsidRPr="00162B16">
        <w:rPr>
          <w:rFonts w:ascii="SimSun" w:eastAsia="SimSun" w:hAnsi="SimSun" w:cs="SimSun" w:hint="eastAsia"/>
          <w:color w:val="auto"/>
        </w:rPr>
        <w:instrText>资助机构以及研究者，取决于他们能不能让没有参与</w:instrText>
      </w:r>
      <w:r w:rsidR="003610B8" w:rsidRPr="00162B16">
        <w:rPr>
          <w:color w:val="auto"/>
        </w:rPr>
        <w:instrText xml:space="preserve"> </w:instrText>
      </w:r>
      <w:r w:rsidR="003610B8" w:rsidRPr="00162B16">
        <w:rPr>
          <w:rFonts w:ascii="MS Mincho" w:eastAsia="MS Mincho" w:hAnsi="MS Mincho" w:cs="MS Mincho" w:hint="eastAsia"/>
          <w:color w:val="auto"/>
        </w:rPr>
        <w:instrText>原始研究、没有参与</w:instrText>
      </w:r>
      <w:r w:rsidR="003610B8" w:rsidRPr="00162B16">
        <w:rPr>
          <w:rFonts w:ascii="SimSun" w:eastAsia="SimSun" w:hAnsi="SimSun" w:cs="SimSun" w:hint="eastAsia"/>
          <w:color w:val="auto"/>
        </w:rPr>
        <w:instrText>创建和维护登记系统的其他合格</w:instrText>
      </w:r>
      <w:r w:rsidR="003610B8" w:rsidRPr="00162B16">
        <w:rPr>
          <w:color w:val="auto"/>
        </w:rPr>
        <w:instrText xml:space="preserve"> </w:instrText>
      </w:r>
      <w:r w:rsidR="003610B8" w:rsidRPr="00162B16">
        <w:rPr>
          <w:rFonts w:ascii="MS Mincho" w:eastAsia="MS Mincho" w:hAnsi="MS Mincho" w:cs="MS Mincho" w:hint="eastAsia"/>
          <w:color w:val="auto"/>
        </w:rPr>
        <w:instrText>研究人</w:instrText>
      </w:r>
      <w:r w:rsidR="003610B8" w:rsidRPr="00162B16">
        <w:rPr>
          <w:rFonts w:ascii="SimSun" w:eastAsia="SimSun" w:hAnsi="SimSun" w:cs="SimSun" w:hint="eastAsia"/>
          <w:color w:val="auto"/>
        </w:rPr>
        <w:instrText>员获得原始研究数据或登记系统的数据。二次</w:instrText>
      </w:r>
      <w:r w:rsidR="003610B8" w:rsidRPr="00162B16">
        <w:rPr>
          <w:color w:val="auto"/>
        </w:rPr>
        <w:instrText xml:space="preserve"> </w:instrText>
      </w:r>
      <w:r w:rsidR="003610B8" w:rsidRPr="00162B16">
        <w:rPr>
          <w:rFonts w:ascii="MS Mincho" w:eastAsia="MS Mincho" w:hAnsi="MS Mincho" w:cs="MS Mincho" w:hint="eastAsia"/>
          <w:color w:val="auto"/>
        </w:rPr>
        <w:instrText>分析的好</w:instrText>
      </w:r>
      <w:r w:rsidR="003610B8" w:rsidRPr="00162B16">
        <w:rPr>
          <w:rFonts w:ascii="SimSun" w:eastAsia="SimSun" w:hAnsi="SimSun" w:cs="SimSun" w:hint="eastAsia"/>
          <w:color w:val="auto"/>
        </w:rPr>
        <w:instrText>处是显而易见的，但面临的障碍很多。因此</w:instrText>
      </w:r>
      <w:r w:rsidR="003610B8" w:rsidRPr="00162B16">
        <w:rPr>
          <w:color w:val="auto"/>
        </w:rPr>
        <w:instrText xml:space="preserve"> </w:instrText>
      </w:r>
      <w:r w:rsidR="003610B8" w:rsidRPr="00162B16">
        <w:rPr>
          <w:rFonts w:ascii="MS Mincho" w:eastAsia="MS Mincho" w:hAnsi="MS Mincho" w:cs="MS Mincho" w:hint="eastAsia"/>
          <w:color w:val="auto"/>
        </w:rPr>
        <w:instrText>提高</w:instrText>
      </w:r>
      <w:r w:rsidR="003610B8" w:rsidRPr="00162B16">
        <w:rPr>
          <w:rFonts w:ascii="SimSun" w:eastAsia="SimSun" w:hAnsi="SimSun" w:cs="SimSun" w:hint="eastAsia"/>
          <w:color w:val="auto"/>
        </w:rPr>
        <w:instrText>这些数据可获得性的工作进展缓慢，在低收入和</w:instrText>
      </w:r>
      <w:r w:rsidR="003610B8" w:rsidRPr="00162B16">
        <w:rPr>
          <w:color w:val="auto"/>
        </w:rPr>
        <w:instrText xml:space="preserve"> </w:instrText>
      </w:r>
      <w:r w:rsidR="003610B8" w:rsidRPr="00162B16">
        <w:rPr>
          <w:rFonts w:ascii="MS Mincho" w:eastAsia="MS Mincho" w:hAnsi="MS Mincho" w:cs="MS Mincho" w:hint="eastAsia"/>
          <w:color w:val="auto"/>
        </w:rPr>
        <w:instrText>中等收入国家尤</w:instrText>
      </w:r>
      <w:r w:rsidR="003610B8" w:rsidRPr="00162B16">
        <w:rPr>
          <w:rFonts w:ascii="SimSun" w:eastAsia="SimSun" w:hAnsi="SimSun" w:cs="SimSun" w:hint="eastAsia"/>
          <w:color w:val="auto"/>
        </w:rPr>
        <w:instrText>为如此。本文介绍了现有数据二次分</w:instrText>
      </w:r>
      <w:r w:rsidR="003610B8" w:rsidRPr="00162B16">
        <w:rPr>
          <w:color w:val="auto"/>
        </w:rPr>
        <w:instrText xml:space="preserve"> </w:instrText>
      </w:r>
      <w:r w:rsidR="003610B8" w:rsidRPr="00162B16">
        <w:rPr>
          <w:rFonts w:ascii="MS Mincho" w:eastAsia="MS Mincho" w:hAnsi="MS Mincho" w:cs="MS Mincho" w:hint="eastAsia"/>
          <w:color w:val="auto"/>
        </w:rPr>
        <w:instrText>析的基本原理和概念，描述了若干个可公</w:instrText>
      </w:r>
      <w:r w:rsidR="003610B8" w:rsidRPr="00162B16">
        <w:rPr>
          <w:rFonts w:ascii="MS Gothic" w:eastAsia="MS Gothic" w:hAnsi="MS Gothic" w:cs="MS Gothic" w:hint="eastAsia"/>
          <w:color w:val="auto"/>
        </w:rPr>
        <w:instrText>开</w:instrText>
      </w:r>
      <w:r w:rsidR="003610B8" w:rsidRPr="00162B16">
        <w:rPr>
          <w:rFonts w:ascii="SimSun" w:eastAsia="SimSun" w:hAnsi="SimSun" w:cs="SimSun" w:hint="eastAsia"/>
          <w:color w:val="auto"/>
        </w:rPr>
        <w:instrText>获得的数</w:instrText>
      </w:r>
      <w:r w:rsidR="003610B8" w:rsidRPr="00162B16">
        <w:rPr>
          <w:color w:val="auto"/>
        </w:rPr>
        <w:instrText xml:space="preserve"> </w:instrText>
      </w:r>
      <w:r w:rsidR="003610B8" w:rsidRPr="00162B16">
        <w:rPr>
          <w:rFonts w:ascii="MS Mincho" w:eastAsia="MS Mincho" w:hAnsi="MS Mincho" w:cs="MS Mincho" w:hint="eastAsia"/>
          <w:color w:val="auto"/>
        </w:rPr>
        <w:instrText>据</w:instrText>
      </w:r>
      <w:r w:rsidR="003610B8" w:rsidRPr="00162B16">
        <w:rPr>
          <w:rFonts w:ascii="SimSun" w:eastAsia="SimSun" w:hAnsi="SimSun" w:cs="SimSun" w:hint="eastAsia"/>
          <w:color w:val="auto"/>
        </w:rPr>
        <w:instrText>库，为现有数据的二次分析提供一般准则，并讨论</w:instrText>
      </w:r>
      <w:r w:rsidR="003610B8" w:rsidRPr="00162B16">
        <w:rPr>
          <w:color w:val="auto"/>
        </w:rPr>
        <w:instrText xml:space="preserve"> </w:instrText>
      </w:r>
      <w:r w:rsidR="003610B8" w:rsidRPr="00162B16">
        <w:rPr>
          <w:rFonts w:ascii="MS Mincho" w:eastAsia="MS Mincho" w:hAnsi="MS Mincho" w:cs="MS Mincho" w:hint="eastAsia"/>
          <w:color w:val="auto"/>
        </w:rPr>
        <w:instrText>了</w:instrText>
      </w:r>
      <w:r w:rsidR="003610B8" w:rsidRPr="00162B16">
        <w:rPr>
          <w:rFonts w:ascii="SimSun" w:eastAsia="SimSun" w:hAnsi="SimSun" w:cs="SimSun" w:hint="eastAsia"/>
          <w:color w:val="auto"/>
        </w:rPr>
        <w:instrText>现有数据分析的优势和不足。</w:instrText>
      </w:r>
      <w:r w:rsidR="003610B8" w:rsidRPr="00162B16">
        <w:rPr>
          <w:color w:val="auto"/>
        </w:rPr>
        <w:instrText>","author":[{"dropping-particle":"","family":"Cheng","given":"Hui G.","non-dropping-particle":"","parse-names":false,"suffix":""},{"dropping-particle":"","family":"Phillips","given":"Michael R.","non-dropping-particle":"","parse-names":false,"suffix":""}],"container-title":"Shanghai Archives of Psychiatry","id":"ITEM-1","issue":"6","issued":{"date-parts":[["2014"]]},"page":"371-375","title":"Secondary analysis of existing data: opportunities and implementation","type":"article-journal","volume":"26"},"uris":["http://www.mendeley.com/documents/?uuid=8f417e90-8fb8-438e-9a55-c72f51a23835"]}],"mendeley":{"formattedCitation":"[44]","plainTextFormattedCitation":"[44]","previouslyFormattedCitation":"[43]"},"properties":{"noteIndex":0},"schema":"https://github.com/citation-style-language/schema/raw/master/csl-citation.json"}</w:instrText>
      </w:r>
      <w:r w:rsidR="0031296C" w:rsidRPr="00162B16">
        <w:rPr>
          <w:color w:val="auto"/>
        </w:rPr>
        <w:fldChar w:fldCharType="separate"/>
      </w:r>
      <w:r w:rsidR="003610B8" w:rsidRPr="00162B16">
        <w:rPr>
          <w:noProof/>
          <w:color w:val="auto"/>
        </w:rPr>
        <w:t>[44]</w:t>
      </w:r>
      <w:r w:rsidR="0031296C" w:rsidRPr="00162B16">
        <w:rPr>
          <w:color w:val="auto"/>
        </w:rPr>
        <w:fldChar w:fldCharType="end"/>
      </w:r>
      <w:r w:rsidRPr="00162B16">
        <w:rPr>
          <w:color w:val="auto"/>
        </w:rPr>
        <w:t xml:space="preserve">. One of the major limitations of the study is the inability to follow participants over time, due to the anonymous nature of the primary data collection. However, the sample size was large enough to be representative of the Maltese population. </w:t>
      </w:r>
    </w:p>
    <w:p w14:paraId="51DE1F11" w14:textId="3C5F760C" w:rsidR="00455395" w:rsidRPr="00162B16" w:rsidRDefault="00455395" w:rsidP="00D2168E">
      <w:pPr>
        <w:pStyle w:val="MDPI31text"/>
        <w:rPr>
          <w:color w:val="auto"/>
        </w:rPr>
      </w:pPr>
      <w:r w:rsidRPr="00162B16">
        <w:rPr>
          <w:color w:val="auto"/>
        </w:rPr>
        <w:t xml:space="preserve">The measurement of PA was completed using an in-house questionnaire so its psychometric properties cannot be ascertained. However, it was </w:t>
      </w:r>
      <w:proofErr w:type="gramStart"/>
      <w:r w:rsidRPr="00162B16">
        <w:rPr>
          <w:color w:val="auto"/>
        </w:rPr>
        <w:t>similar to</w:t>
      </w:r>
      <w:proofErr w:type="gramEnd"/>
      <w:r w:rsidRPr="00162B16">
        <w:rPr>
          <w:color w:val="auto"/>
        </w:rPr>
        <w:t xml:space="preserve"> the IPAQ short form which has been deemed to be valid and reliable. Measurement of sedentary behavior would have provided useful data for analysis and should be included in future iterations of the survey.</w:t>
      </w:r>
      <w:r w:rsidR="00E51CF3" w:rsidRPr="00162B16">
        <w:rPr>
          <w:color w:val="auto"/>
        </w:rPr>
        <w:t xml:space="preserve"> Using questions similar to IPAQ in the older population might not be most appropriate tool as there are other tools which are more specific to older adults</w:t>
      </w:r>
      <w:r w:rsidR="00F900CE" w:rsidRPr="00162B16">
        <w:rPr>
          <w:color w:val="auto"/>
        </w:rPr>
        <w:t xml:space="preserve"> </w:t>
      </w:r>
      <w:r w:rsidR="00F900CE" w:rsidRPr="00162B16">
        <w:rPr>
          <w:color w:val="auto"/>
        </w:rPr>
        <w:fldChar w:fldCharType="begin" w:fldLock="1"/>
      </w:r>
      <w:r w:rsidR="003610B8" w:rsidRPr="00162B16">
        <w:rPr>
          <w:color w:val="auto"/>
        </w:rPr>
        <w:instrText>ADDIN CSL_CITATION {"citationItems":[{"id":"ITEM-1","itemData":{"DOI":"10.1007/s40279-020-01268-x","ISBN":"0123456789","ISSN":"11792035","PMID":"32125670","abstract":"Background: Questionnaires provide valuable information about physical activity (PA) behaviors in older adults. Until now, no firm recommendations for the most qualified questionnaires for older adults have been provided. Objectives: This review is an update of a previous systematic review, published in 2010, and aims to summarize, appraise and compare the measurement properties of all available self-administered questionnaires assessing PA in older adults. Methods: We included the articles evaluated in the previous review and conducted a new search in PubMed, Embase, and SPORTDiscus from September 2008 to December 2019, using the following inclusion criteria (1) the purpose of the study was to evaluate at least one measurement property (reliability, measurement error, hypothesis testing for construct validity, responsiveness) of a self-administered questionnaire; (2) the questionnaire intended to measure PA; (3) the questionnaire covered at least one domain of PA; (4) the study was performed in the general, healthy population of older adults; (5) the mean age of the study population was &gt; 55 years; and (6) the article was published in English. Based on the Quality Assessment of Physical Activity Questionnaires (QAPAQ) checklist, we evaluated the quality and results of the studies. The content validity of all included questionnaires was also evaluated using the reviewers’ rating. The quality of the body of evidence was evaluated for the overall construct of each questionnaire (e.g., total PA), moderate-to-vigorous physical activity (MVPA) and walking using a modified Grading of Recommendation, Assessment, Development, and Evaluation (GRADE) approach. Results: In total, 56 articles on 40 different questionnaires (14 from the previous review and 26 from the update) were included. Reliability was assessed for 22, measurement error for four and hypotheses testing for construct validity for 38 different questionnaires. Evidence for responsiveness was available for one questionnaire. For many questionnaires, only one measurement property was assessed in only a single study. Sufficient content validity was considered for 22 questionnaires. All questionnaires displayed large measurement errors. Only versions of two questionnaires showed both sufficient reliability and hypotheses testing for construct validity, namely the Physical Activity Scale for the Elderly (PASE; English version, Turkish version) for the assessment of total PA, and the Physical Activity and…","author":[{"dropping-particle":"","family":"Sattler","given":"Matteo C.","non-dropping-particle":"","parse-names":false,"suffix":""},{"dropping-particle":"","family":"Jaunig","given":"Johannes","non-dropping-particle":"","parse-names":false,"suffix":""},{"dropping-particle":"","family":"Tösch","given":"Christoph","non-dropping-particle":"","parse-names":false,"suffix":""},{"dropping-particle":"","family":"Watson","given":"Estelle D.","non-dropping-particle":"","parse-names":false,"suffix":""},{"dropping-particle":"","family":"Mokkink","given":"Lidwine B.","non-dropping-particle":"","parse-names":false,"suffix":""},{"dropping-particle":"","family":"Dietz","given":"Pavel","non-dropping-particle":"","parse-names":false,"suffix":""},{"dropping-particle":"","family":"Poppel","given":"Mireille N.M.","non-dropping-particle":"van","parse-names":false,"suffix":""}],"container-title":"Sports Medicine","id":"ITEM-1","issue":"7","issued":{"date-parts":[["2020"]]},"number-of-pages":"1271-1315","publisher":"Springer International Publishing","title":"Current Evidence of Measurement Properties of Physical Activity Questionnaires for Older Adults: An Updated Systematic Review","type":"book","volume":"50"},"uris":["http://www.mendeley.com/documents/?uuid=2a10a91b-b62b-4818-a50e-3bf3de7189ef"]}],"mendeley":{"formattedCitation":"[45]","plainTextFormattedCitation":"[45]","previouslyFormattedCitation":"[44]"},"properties":{"noteIndex":0},"schema":"https://github.com/citation-style-language/schema/raw/master/csl-citation.json"}</w:instrText>
      </w:r>
      <w:r w:rsidR="00F900CE" w:rsidRPr="00162B16">
        <w:rPr>
          <w:color w:val="auto"/>
        </w:rPr>
        <w:fldChar w:fldCharType="separate"/>
      </w:r>
      <w:r w:rsidR="003610B8" w:rsidRPr="00162B16">
        <w:rPr>
          <w:noProof/>
          <w:color w:val="auto"/>
        </w:rPr>
        <w:t>[45]</w:t>
      </w:r>
      <w:r w:rsidR="00F900CE" w:rsidRPr="00162B16">
        <w:rPr>
          <w:color w:val="auto"/>
        </w:rPr>
        <w:fldChar w:fldCharType="end"/>
      </w:r>
      <w:r w:rsidR="00E51CF3" w:rsidRPr="00162B16">
        <w:rPr>
          <w:color w:val="auto"/>
        </w:rPr>
        <w:t xml:space="preserve">. Using MET minutes per week is a measure of absolute physiological intensity whilst self-reported measures measure relative intensity, which creates a discrepancy within the measurement </w:t>
      </w:r>
      <w:r w:rsidR="00F900CE" w:rsidRPr="00162B16">
        <w:rPr>
          <w:color w:val="auto"/>
        </w:rPr>
        <w:fldChar w:fldCharType="begin" w:fldLock="1"/>
      </w:r>
      <w:r w:rsidR="003610B8" w:rsidRPr="00162B16">
        <w:rPr>
          <w:color w:val="auto"/>
        </w:rPr>
        <w:instrText>ADDIN CSL_CITATION {"citationItems":[{"id":"ITEM-1","itemData":{"DOI":"https://doi.org/10.1123/jpah.9.s1.s68","author":[{"dropping-particle":"","family":"Troiano","given":"Richard P","non-dropping-particle":"","parse-names":false,"suffix":""},{"dropping-particle":"","family":"Pettee Gabriel","given":"Kelley K","non-dropping-particle":"","parse-names":false,"suffix":""},{"dropping-particle":"","family":"Welk","given":"Gregory J","non-dropping-particle":"","parse-names":false,"suffix":""},{"dropping-particle":"","family":"Owen","given":"Neville","non-dropping-particle":"","parse-names":false,"suffix":""},{"dropping-particle":"","family":"Sternfeld","given":"Barbara","non-dropping-particle":"","parse-names":false,"suffix":""}],"container-title":"Journal of physical activity and health","id":"ITEM-1","issue":"suppl 1","issued":{"date-parts":[["2012"]]},"page":"S68-S75","title":"Reported Physical Activity and Sedentary Behavior: Why Do You Ask?","type":"article-journal","volume":"9"},"uris":["http://www.mendeley.com/documents/?uuid=2ce3f7cc-b4ff-41c3-ac66-9308f733d4a1"]}],"mendeley":{"formattedCitation":"[46]","plainTextFormattedCitation":"[46]","previouslyFormattedCitation":"[45]"},"properties":{"noteIndex":0},"schema":"https://github.com/citation-style-language/schema/raw/master/csl-citation.json"}</w:instrText>
      </w:r>
      <w:r w:rsidR="00F900CE" w:rsidRPr="00162B16">
        <w:rPr>
          <w:color w:val="auto"/>
        </w:rPr>
        <w:fldChar w:fldCharType="separate"/>
      </w:r>
      <w:r w:rsidR="003610B8" w:rsidRPr="00162B16">
        <w:rPr>
          <w:noProof/>
          <w:color w:val="auto"/>
        </w:rPr>
        <w:t>[46]</w:t>
      </w:r>
      <w:r w:rsidR="00F900CE" w:rsidRPr="00162B16">
        <w:rPr>
          <w:color w:val="auto"/>
        </w:rPr>
        <w:fldChar w:fldCharType="end"/>
      </w:r>
      <w:r w:rsidR="00E51CF3" w:rsidRPr="00162B16">
        <w:rPr>
          <w:color w:val="auto"/>
        </w:rPr>
        <w:t xml:space="preserve">. </w:t>
      </w:r>
      <w:r w:rsidR="001C11EF" w:rsidRPr="00162B16">
        <w:rPr>
          <w:color w:val="auto"/>
        </w:rPr>
        <w:t>T</w:t>
      </w:r>
      <w:r w:rsidR="00E51CF3" w:rsidRPr="00162B16">
        <w:rPr>
          <w:color w:val="auto"/>
        </w:rPr>
        <w:t>his discrepancy was across all the population under study.</w:t>
      </w:r>
    </w:p>
    <w:p w14:paraId="515AB8E6" w14:textId="6AE5CDF4" w:rsidR="00455395" w:rsidRPr="00162B16" w:rsidRDefault="00455395" w:rsidP="00D2168E">
      <w:pPr>
        <w:pStyle w:val="MDPI31text"/>
        <w:rPr>
          <w:color w:val="auto"/>
        </w:rPr>
      </w:pPr>
      <w:r w:rsidRPr="00162B16">
        <w:rPr>
          <w:color w:val="auto"/>
        </w:rPr>
        <w:t>The clear strength of this study is that to the authors’ knowledge it is the first attempt to identify the possible effect of retirement on PA in the Maltese population. The study was able to distinguish between those in retirement and still employed. The recruited participant sample was representative of the population. The sample was able to assess cross-</w:t>
      </w:r>
      <w:r w:rsidRPr="00162B16">
        <w:rPr>
          <w:color w:val="auto"/>
        </w:rPr>
        <w:lastRenderedPageBreak/>
        <w:t xml:space="preserve">sectional changes across the 12 years under study. The analysis of PA was based on IPAQ guidelines which is an international approved system and with frequent use within the literature. This made it possible to analyses PA data in a continuous and categorical format </w:t>
      </w:r>
      <w:r w:rsidR="00C77C01" w:rsidRPr="00162B16">
        <w:rPr>
          <w:color w:val="auto"/>
        </w:rPr>
        <w:fldChar w:fldCharType="begin" w:fldLock="1"/>
      </w:r>
      <w:r w:rsidR="003610B8" w:rsidRPr="00162B16">
        <w:rPr>
          <w:color w:val="auto"/>
        </w:rPr>
        <w:instrText>ADDIN CSL_CITATION {"citationItems":[{"id":"ITEM-1","itemData":{"DOI":"10.1123/jpah.8.1.62","ISSN":"15435476","abstract":"BACKGROUND To examine the agreement between self-reported and objectively assessed physical activity (PA) according to current public health recommendations. METHODS One-hundred and fourteen British University students wore a combined accelerometer and heart rate monitor (Actiheart; AHR) to estimate 24-hour energy expenditure over 7 consecutive days. Data were extracted based on population-based MET-levels recommended to improve and maintain health. On day 8, participants were randomly assigned to complete either the short-form International Physical Activity Questionnaire (IPAQ) or the Leisure-Time Exercise Questionnaire (LTEQ). Estimates of duration (IPAQ; N = 46) and frequency (LTEQ; N = 41) of PA were compared with those recorded by the AHR. RESULTS Bland-Altman analysis showed the mean bias between the IPAQ and AHR to be small for moderate-intensity and total PA, however the 95% limits of agreement (LOA) were wide. The mean number of moderate bouts of PA estimated by the LTEQ was similar to those derived by the AHR but the 95% LOA between the 2 measures were large. CONCLUSIONS Although self-report questionnaires may provide an approximation of PA at a population level, they may not determine whether an individual is participating in the type, intensity, and amount of PA advocated in current public health recommendations.","author":[{"dropping-particle":"","family":"Loney","given":"Tom","non-dropping-particle":"","parse-names":false,"suffix":""},{"dropping-particle":"","family":"Standage","given":"Martyn","non-dropping-particle":"","parse-names":false,"suffix":""},{"dropping-particle":"","family":"Thompson","given":"Dylan","non-dropping-particle":"","parse-names":false,"suffix":""},{"dropping-particle":"","family":"Sebire","given":"Simon J.","non-dropping-particle":"","parse-names":false,"suffix":""},{"dropping-particle":"","family":"Cumming","given":"Sean","non-dropping-particle":"","parse-names":false,"suffix":""}],"container-title":"Journal of Physical Activity and Health","id":"ITEM-1","issue":"1","issued":{"date-parts":[["2011"]]},"page":"62-70","title":"Self-report vs. objectively assessed physical activity: Which is right for public health?","type":"article-journal","volume":"8"},"uris":["http://www.mendeley.com/documents/?uuid=0351f883-b5fb-47ef-bb88-3d194c8fa2dd"]}],"mendeley":{"formattedCitation":"[47]","plainTextFormattedCitation":"[47]","previouslyFormattedCitation":"[46]"},"properties":{"noteIndex":0},"schema":"https://github.com/citation-style-language/schema/raw/master/csl-citation.json"}</w:instrText>
      </w:r>
      <w:r w:rsidR="00C77C01" w:rsidRPr="00162B16">
        <w:rPr>
          <w:color w:val="auto"/>
        </w:rPr>
        <w:fldChar w:fldCharType="separate"/>
      </w:r>
      <w:r w:rsidR="003610B8" w:rsidRPr="00162B16">
        <w:rPr>
          <w:noProof/>
          <w:color w:val="auto"/>
        </w:rPr>
        <w:t>[47]</w:t>
      </w:r>
      <w:r w:rsidR="00C77C01" w:rsidRPr="00162B16">
        <w:rPr>
          <w:color w:val="auto"/>
        </w:rPr>
        <w:fldChar w:fldCharType="end"/>
      </w:r>
      <w:r w:rsidRPr="00162B16">
        <w:rPr>
          <w:color w:val="auto"/>
        </w:rPr>
        <w:t>.</w:t>
      </w:r>
    </w:p>
    <w:p w14:paraId="207434B6" w14:textId="1C40ECD6" w:rsidR="00455395" w:rsidRPr="00162B16" w:rsidRDefault="00C226C6" w:rsidP="00C226C6">
      <w:pPr>
        <w:pStyle w:val="MDPI22heading2"/>
        <w:spacing w:before="240"/>
        <w:rPr>
          <w:color w:val="auto"/>
        </w:rPr>
      </w:pPr>
      <w:r w:rsidRPr="00162B16">
        <w:rPr>
          <w:color w:val="auto"/>
        </w:rPr>
        <w:t xml:space="preserve">4.2. </w:t>
      </w:r>
      <w:r w:rsidR="00455395" w:rsidRPr="00162B16">
        <w:rPr>
          <w:color w:val="auto"/>
        </w:rPr>
        <w:t>Future research</w:t>
      </w:r>
    </w:p>
    <w:p w14:paraId="2516E5D6" w14:textId="77777777" w:rsidR="00455395" w:rsidRPr="00162B16" w:rsidRDefault="00455395" w:rsidP="00C226C6">
      <w:pPr>
        <w:pStyle w:val="MDPI31text"/>
        <w:rPr>
          <w:color w:val="auto"/>
        </w:rPr>
      </w:pPr>
      <w:r w:rsidRPr="00162B16">
        <w:rPr>
          <w:color w:val="auto"/>
        </w:rPr>
        <w:t>Given the limitations of secondary analysis, the relationship between PA and retirement should be examined further. Exploring the possible change in PA and its causes during retirement can help support national policy development to support PA promotion during the retirement transition. Future research should use a longitudinal design, measure PA, and follow the same participant over time, and explore how the experience of retirement might influence PA later in life using qualitative means.</w:t>
      </w:r>
    </w:p>
    <w:p w14:paraId="7A7C13A9" w14:textId="1F3BC713" w:rsidR="00455395" w:rsidRPr="00162B16" w:rsidRDefault="00C226C6" w:rsidP="00C226C6">
      <w:pPr>
        <w:pStyle w:val="MDPI22heading2"/>
        <w:spacing w:before="240"/>
        <w:rPr>
          <w:color w:val="auto"/>
        </w:rPr>
      </w:pPr>
      <w:r w:rsidRPr="00162B16">
        <w:rPr>
          <w:color w:val="auto"/>
        </w:rPr>
        <w:t xml:space="preserve">4.3. </w:t>
      </w:r>
      <w:r w:rsidR="00455395" w:rsidRPr="00162B16">
        <w:rPr>
          <w:color w:val="auto"/>
        </w:rPr>
        <w:t>Practical implications</w:t>
      </w:r>
    </w:p>
    <w:p w14:paraId="46D27580" w14:textId="5C01142C" w:rsidR="00937EA2" w:rsidRPr="00162B16" w:rsidRDefault="000A762B" w:rsidP="00C226C6">
      <w:pPr>
        <w:pStyle w:val="MDPI31text"/>
        <w:rPr>
          <w:color w:val="auto"/>
        </w:rPr>
      </w:pPr>
      <w:r w:rsidRPr="00162B16">
        <w:rPr>
          <w:color w:val="auto"/>
        </w:rPr>
        <w:t xml:space="preserve">The PA behavior within the population decreased over time due less people reaching vigorous PA behavior. </w:t>
      </w:r>
      <w:r w:rsidR="00455395" w:rsidRPr="00162B16">
        <w:rPr>
          <w:color w:val="auto"/>
        </w:rPr>
        <w:t xml:space="preserve">PA behaviors are expected to decrease with age so promoting PA levels during retirement may have a beneficial influence on the health of the population [8]. </w:t>
      </w:r>
      <w:r w:rsidRPr="00162B16">
        <w:rPr>
          <w:color w:val="auto"/>
        </w:rPr>
        <w:t>Being in retirement was found to predict positive PA behaviors. A</w:t>
      </w:r>
      <w:r w:rsidR="00455395" w:rsidRPr="00162B16">
        <w:rPr>
          <w:color w:val="auto"/>
        </w:rPr>
        <w:t xml:space="preserve">n exploration of how retirement can have a beneficial influence on PA behavior is </w:t>
      </w:r>
      <w:r w:rsidR="00466079" w:rsidRPr="00162B16">
        <w:rPr>
          <w:color w:val="auto"/>
        </w:rPr>
        <w:t>warranted</w:t>
      </w:r>
      <w:r w:rsidR="008E5282" w:rsidRPr="00162B16">
        <w:rPr>
          <w:color w:val="auto"/>
        </w:rPr>
        <w:t xml:space="preserve"> as well as interventions to encourage more vigorous PA behavior</w:t>
      </w:r>
      <w:r w:rsidR="00466079" w:rsidRPr="00162B16">
        <w:rPr>
          <w:color w:val="auto"/>
        </w:rPr>
        <w:t>.</w:t>
      </w:r>
      <w:r w:rsidRPr="00162B16">
        <w:rPr>
          <w:color w:val="auto"/>
        </w:rPr>
        <w:t xml:space="preserve"> </w:t>
      </w:r>
    </w:p>
    <w:p w14:paraId="12F27E2E" w14:textId="284874E9" w:rsidR="00937EA2" w:rsidRPr="00162B16" w:rsidRDefault="00C226C6" w:rsidP="00C226C6">
      <w:pPr>
        <w:pStyle w:val="MDPI21heading1"/>
        <w:rPr>
          <w:color w:val="auto"/>
        </w:rPr>
      </w:pPr>
      <w:r w:rsidRPr="00162B16">
        <w:rPr>
          <w:color w:val="auto"/>
        </w:rPr>
        <w:t xml:space="preserve">5. </w:t>
      </w:r>
      <w:r w:rsidR="00937EA2" w:rsidRPr="00162B16">
        <w:rPr>
          <w:color w:val="auto"/>
        </w:rPr>
        <w:t>Conclusions</w:t>
      </w:r>
    </w:p>
    <w:p w14:paraId="7BDF538B" w14:textId="3ED44278" w:rsidR="00937EA2" w:rsidRPr="00162B16" w:rsidRDefault="00455395" w:rsidP="00C226C6">
      <w:pPr>
        <w:pStyle w:val="MDPI31text"/>
        <w:rPr>
          <w:color w:val="auto"/>
        </w:rPr>
      </w:pPr>
      <w:r w:rsidRPr="00162B16">
        <w:rPr>
          <w:color w:val="auto"/>
        </w:rPr>
        <w:t xml:space="preserve">This study </w:t>
      </w:r>
      <w:r w:rsidR="00466079" w:rsidRPr="00162B16">
        <w:rPr>
          <w:color w:val="auto"/>
        </w:rPr>
        <w:t>investigated</w:t>
      </w:r>
      <w:r w:rsidRPr="00162B16">
        <w:rPr>
          <w:color w:val="auto"/>
        </w:rPr>
        <w:t xml:space="preserve"> employment status and PA behavior at a population </w:t>
      </w:r>
      <w:r w:rsidR="00D07CAF" w:rsidRPr="00162B16">
        <w:rPr>
          <w:color w:val="auto"/>
        </w:rPr>
        <w:t xml:space="preserve">and individual </w:t>
      </w:r>
      <w:r w:rsidRPr="00162B16">
        <w:rPr>
          <w:color w:val="auto"/>
        </w:rPr>
        <w:t>level</w:t>
      </w:r>
      <w:r w:rsidR="00D36B4A" w:rsidRPr="00162B16">
        <w:rPr>
          <w:color w:val="auto"/>
        </w:rPr>
        <w:t xml:space="preserve"> by looking at the data longitudinally</w:t>
      </w:r>
      <w:r w:rsidR="00834DF9" w:rsidRPr="00162B16">
        <w:rPr>
          <w:color w:val="auto"/>
        </w:rPr>
        <w:t xml:space="preserve"> using a repeat cross-sectional design</w:t>
      </w:r>
      <w:r w:rsidR="00D36B4A" w:rsidRPr="00162B16">
        <w:rPr>
          <w:color w:val="auto"/>
        </w:rPr>
        <w:t xml:space="preserve">. </w:t>
      </w:r>
      <w:r w:rsidRPr="00162B16">
        <w:rPr>
          <w:color w:val="auto"/>
        </w:rPr>
        <w:t xml:space="preserve">Across the 12 years, </w:t>
      </w:r>
      <w:r w:rsidR="00D07CAF" w:rsidRPr="00162B16">
        <w:rPr>
          <w:color w:val="auto"/>
        </w:rPr>
        <w:t xml:space="preserve">based on the statistical model </w:t>
      </w:r>
      <w:r w:rsidRPr="00162B16">
        <w:rPr>
          <w:color w:val="auto"/>
        </w:rPr>
        <w:t xml:space="preserve">people in retirement </w:t>
      </w:r>
      <w:r w:rsidR="00D07CAF" w:rsidRPr="00162B16">
        <w:rPr>
          <w:color w:val="auto"/>
        </w:rPr>
        <w:t>were</w:t>
      </w:r>
      <w:r w:rsidR="006866B6" w:rsidRPr="00162B16">
        <w:rPr>
          <w:color w:val="auto"/>
        </w:rPr>
        <w:t xml:space="preserve"> </w:t>
      </w:r>
      <w:r w:rsidR="00D07CAF" w:rsidRPr="00162B16">
        <w:rPr>
          <w:color w:val="auto"/>
        </w:rPr>
        <w:t xml:space="preserve">more active than those in </w:t>
      </w:r>
      <w:proofErr w:type="gramStart"/>
      <w:r w:rsidR="00D07CAF" w:rsidRPr="00162B16">
        <w:rPr>
          <w:color w:val="auto"/>
        </w:rPr>
        <w:t xml:space="preserve">employment </w:t>
      </w:r>
      <w:r w:rsidRPr="00162B16">
        <w:rPr>
          <w:color w:val="auto"/>
        </w:rPr>
        <w:t>.</w:t>
      </w:r>
      <w:proofErr w:type="gramEnd"/>
      <w:r w:rsidRPr="00162B16">
        <w:rPr>
          <w:color w:val="auto"/>
        </w:rPr>
        <w:t xml:space="preserve"> </w:t>
      </w:r>
      <w:r w:rsidR="00834DF9" w:rsidRPr="00162B16">
        <w:rPr>
          <w:color w:val="auto"/>
        </w:rPr>
        <w:t>O</w:t>
      </w:r>
      <w:r w:rsidR="00D07CAF" w:rsidRPr="00162B16">
        <w:rPr>
          <w:color w:val="auto"/>
        </w:rPr>
        <w:t>ther factors such as BMI, long standing health problems, age and self-rated health could be causing the higher levels seen in the employed population during the years.  Irrespective of these variables t</w:t>
      </w:r>
      <w:r w:rsidR="00CB08D0" w:rsidRPr="00162B16">
        <w:rPr>
          <w:color w:val="auto"/>
        </w:rPr>
        <w:t xml:space="preserve">he study found that PA behavior </w:t>
      </w:r>
      <w:r w:rsidR="00D07CAF" w:rsidRPr="00162B16">
        <w:rPr>
          <w:color w:val="auto"/>
        </w:rPr>
        <w:t>is</w:t>
      </w:r>
      <w:r w:rsidR="00CB08D0" w:rsidRPr="00162B16">
        <w:rPr>
          <w:color w:val="auto"/>
        </w:rPr>
        <w:t xml:space="preserve"> becoming similar between retired and employed</w:t>
      </w:r>
      <w:r w:rsidR="005C7BA5" w:rsidRPr="00162B16">
        <w:rPr>
          <w:color w:val="auto"/>
        </w:rPr>
        <w:t xml:space="preserve"> in 2014</w:t>
      </w:r>
      <w:r w:rsidR="00CB08D0" w:rsidRPr="00162B16">
        <w:rPr>
          <w:color w:val="auto"/>
        </w:rPr>
        <w:t xml:space="preserve">. The </w:t>
      </w:r>
      <w:r w:rsidR="00834DF9" w:rsidRPr="00162B16">
        <w:rPr>
          <w:color w:val="auto"/>
        </w:rPr>
        <w:t>l</w:t>
      </w:r>
      <w:r w:rsidRPr="00162B16">
        <w:rPr>
          <w:color w:val="auto"/>
        </w:rPr>
        <w:t xml:space="preserve">evels of </w:t>
      </w:r>
      <w:r w:rsidR="00834DF9" w:rsidRPr="00162B16">
        <w:rPr>
          <w:color w:val="auto"/>
        </w:rPr>
        <w:t>PA</w:t>
      </w:r>
      <w:r w:rsidRPr="00162B16">
        <w:rPr>
          <w:color w:val="auto"/>
        </w:rPr>
        <w:t xml:space="preserve"> may be increasing among the retired population </w:t>
      </w:r>
      <w:r w:rsidR="00834DF9" w:rsidRPr="00162B16">
        <w:rPr>
          <w:color w:val="auto"/>
        </w:rPr>
        <w:t xml:space="preserve">compared to those in employment, </w:t>
      </w:r>
      <w:r w:rsidR="00CB08D0" w:rsidRPr="00162B16">
        <w:rPr>
          <w:color w:val="auto"/>
        </w:rPr>
        <w:t xml:space="preserve">analysis of future data set could be used to indicate whether this is a one-time cohort effect or a developing </w:t>
      </w:r>
      <w:r w:rsidR="00D07CAF" w:rsidRPr="00162B16">
        <w:rPr>
          <w:color w:val="auto"/>
        </w:rPr>
        <w:t xml:space="preserve">period </w:t>
      </w:r>
      <w:r w:rsidR="00CB08D0" w:rsidRPr="00162B16">
        <w:rPr>
          <w:color w:val="auto"/>
        </w:rPr>
        <w:t>trend</w:t>
      </w:r>
      <w:r w:rsidRPr="00162B16">
        <w:rPr>
          <w:color w:val="auto"/>
        </w:rPr>
        <w:t>.</w:t>
      </w:r>
    </w:p>
    <w:p w14:paraId="515E0D7D" w14:textId="2FCB1E27" w:rsidR="00937EA2" w:rsidRPr="00162B16" w:rsidRDefault="00937EA2" w:rsidP="00C226C6">
      <w:pPr>
        <w:pStyle w:val="MDPI62BackMatter"/>
        <w:spacing w:before="240"/>
        <w:rPr>
          <w:color w:val="auto"/>
        </w:rPr>
      </w:pPr>
      <w:r w:rsidRPr="00162B16">
        <w:rPr>
          <w:b/>
          <w:color w:val="auto"/>
        </w:rPr>
        <w:t>Author Contributions:</w:t>
      </w:r>
      <w:r w:rsidRPr="00162B16">
        <w:rPr>
          <w:color w:val="auto"/>
        </w:rPr>
        <w:t xml:space="preserve"> </w:t>
      </w:r>
      <w:r w:rsidR="00D10321" w:rsidRPr="00162B16">
        <w:rPr>
          <w:color w:val="auto"/>
        </w:rPr>
        <w:t xml:space="preserve">Conceptualization, Karl Spiteri, Kate Grafton and David Broom; validation, David Broom, John </w:t>
      </w:r>
      <w:proofErr w:type="spellStart"/>
      <w:r w:rsidR="00D10321" w:rsidRPr="00162B16">
        <w:rPr>
          <w:color w:val="auto"/>
        </w:rPr>
        <w:t>Xerri</w:t>
      </w:r>
      <w:proofErr w:type="spellEnd"/>
      <w:r w:rsidR="00D10321" w:rsidRPr="00162B16">
        <w:rPr>
          <w:color w:val="auto"/>
        </w:rPr>
        <w:t xml:space="preserve"> de Caro and Lee Smith; formal analysis, Lee Smith; investigation, Kathleen England and Neville Calleja; resources, Neville Calleja and Kathleen England; data curation, Kathleen England; writing—original draft preparation, Karl Spiteri</w:t>
      </w:r>
      <w:r w:rsidR="001B037E" w:rsidRPr="00162B16">
        <w:rPr>
          <w:color w:val="auto"/>
        </w:rPr>
        <w:t xml:space="preserve"> and David Broom</w:t>
      </w:r>
      <w:r w:rsidR="00D10321" w:rsidRPr="00162B16">
        <w:rPr>
          <w:color w:val="auto"/>
        </w:rPr>
        <w:t xml:space="preserve">; writing—review and editing, John </w:t>
      </w:r>
      <w:proofErr w:type="spellStart"/>
      <w:r w:rsidR="00D10321" w:rsidRPr="00162B16">
        <w:rPr>
          <w:color w:val="auto"/>
        </w:rPr>
        <w:t>Xerri</w:t>
      </w:r>
      <w:proofErr w:type="spellEnd"/>
      <w:r w:rsidR="00D10321" w:rsidRPr="00162B16">
        <w:rPr>
          <w:color w:val="auto"/>
        </w:rPr>
        <w:t xml:space="preserve"> de Caro, Kathleen England, Neville Calleja, Lee Smith, Kate Grafton</w:t>
      </w:r>
      <w:r w:rsidR="001B037E" w:rsidRPr="00162B16">
        <w:rPr>
          <w:color w:val="auto"/>
        </w:rPr>
        <w:t xml:space="preserve"> and David Broom</w:t>
      </w:r>
      <w:r w:rsidR="00D10321" w:rsidRPr="00162B16">
        <w:rPr>
          <w:color w:val="auto"/>
        </w:rPr>
        <w:t>; visualization, Karl Spiteri; supervision, David Broom; project administration, Kathleen England and Neville Calleja; funding acquisition, Karl Spiteri. All authors have read and agreed to the published version of the manuscript.</w:t>
      </w:r>
    </w:p>
    <w:p w14:paraId="20384ABB" w14:textId="4420349E" w:rsidR="00937EA2" w:rsidRPr="00162B16" w:rsidRDefault="00937EA2" w:rsidP="00D2168E">
      <w:pPr>
        <w:pStyle w:val="MDPI62BackMatter"/>
        <w:rPr>
          <w:color w:val="auto"/>
        </w:rPr>
      </w:pPr>
      <w:r w:rsidRPr="00162B16">
        <w:rPr>
          <w:b/>
          <w:color w:val="auto"/>
        </w:rPr>
        <w:t>Funding:</w:t>
      </w:r>
      <w:r w:rsidRPr="00162B16">
        <w:rPr>
          <w:color w:val="auto"/>
        </w:rPr>
        <w:t xml:space="preserve"> This research was funded by </w:t>
      </w:r>
      <w:r w:rsidR="00A010EF" w:rsidRPr="00162B16">
        <w:rPr>
          <w:color w:val="auto"/>
        </w:rPr>
        <w:t>ENDEAVOUR scholarship scheme – Group B- National funds – Malta</w:t>
      </w:r>
      <w:r w:rsidRPr="00162B16">
        <w:rPr>
          <w:color w:val="auto"/>
        </w:rPr>
        <w:t xml:space="preserve">, grant number </w:t>
      </w:r>
      <w:r w:rsidR="00A010EF" w:rsidRPr="00162B16">
        <w:rPr>
          <w:color w:val="auto"/>
        </w:rPr>
        <w:t>MEDE/1117/2017/43.</w:t>
      </w:r>
      <w:r w:rsidRPr="00162B16">
        <w:rPr>
          <w:color w:val="auto"/>
        </w:rPr>
        <w:t xml:space="preserve"> </w:t>
      </w:r>
    </w:p>
    <w:p w14:paraId="2A97A500" w14:textId="71B7AE29" w:rsidR="00994DF9" w:rsidRPr="00162B16" w:rsidRDefault="00994DF9" w:rsidP="00D2168E">
      <w:pPr>
        <w:pStyle w:val="MDPI62BackMatter"/>
        <w:rPr>
          <w:b/>
          <w:color w:val="auto"/>
        </w:rPr>
      </w:pPr>
      <w:bookmarkStart w:id="3" w:name="_Hlk60054323"/>
      <w:r w:rsidRPr="00162B16">
        <w:rPr>
          <w:b/>
          <w:color w:val="auto"/>
        </w:rPr>
        <w:t xml:space="preserve">Institutional Review Board Statement: </w:t>
      </w:r>
      <w:r w:rsidRPr="00162B16">
        <w:rPr>
          <w:color w:val="auto"/>
        </w:rPr>
        <w:t xml:space="preserve">The study was conducted according to the guidelines of the Declaration of </w:t>
      </w:r>
      <w:proofErr w:type="gramStart"/>
      <w:r w:rsidRPr="00162B16">
        <w:rPr>
          <w:color w:val="auto"/>
        </w:rPr>
        <w:t>Helsinki, and</w:t>
      </w:r>
      <w:proofErr w:type="gramEnd"/>
      <w:r w:rsidRPr="00162B16">
        <w:rPr>
          <w:color w:val="auto"/>
        </w:rPr>
        <w:t xml:space="preserve"> approved by the </w:t>
      </w:r>
      <w:r w:rsidR="004D2CBA" w:rsidRPr="00162B16">
        <w:rPr>
          <w:color w:val="auto"/>
        </w:rPr>
        <w:t>Sheffield Hallam University Research Ethic committee reference number: ER5441966 on 13/12/2017.</w:t>
      </w:r>
    </w:p>
    <w:p w14:paraId="58260952" w14:textId="5CE2946F" w:rsidR="00994DF9" w:rsidRPr="00162B16" w:rsidRDefault="00994DF9" w:rsidP="00D2168E">
      <w:pPr>
        <w:pStyle w:val="MDPI62BackMatter"/>
        <w:spacing w:after="0"/>
        <w:rPr>
          <w:color w:val="auto"/>
        </w:rPr>
      </w:pPr>
      <w:r w:rsidRPr="00162B16">
        <w:rPr>
          <w:b/>
          <w:color w:val="auto"/>
        </w:rPr>
        <w:t xml:space="preserve">Informed Consent Statement: </w:t>
      </w:r>
      <w:r w:rsidR="004D2CBA" w:rsidRPr="00162B16">
        <w:rPr>
          <w:color w:val="auto"/>
        </w:rPr>
        <w:t>Participant</w:t>
      </w:r>
      <w:r w:rsidRPr="00162B16">
        <w:rPr>
          <w:color w:val="auto"/>
        </w:rPr>
        <w:t xml:space="preserve"> consent was waived due to </w:t>
      </w:r>
      <w:r w:rsidR="004D2CBA" w:rsidRPr="00162B16">
        <w:rPr>
          <w:color w:val="auto"/>
        </w:rPr>
        <w:t>the study being a secondary data analysis of an anonymous dataset.</w:t>
      </w:r>
    </w:p>
    <w:p w14:paraId="4640669B" w14:textId="6987A9F5" w:rsidR="00994DF9" w:rsidRPr="00162B16" w:rsidRDefault="00994DF9" w:rsidP="00C226C6">
      <w:pPr>
        <w:pStyle w:val="MDPI62BackMatter"/>
        <w:spacing w:before="120"/>
        <w:rPr>
          <w:color w:val="auto"/>
        </w:rPr>
      </w:pPr>
      <w:r w:rsidRPr="00162B16">
        <w:rPr>
          <w:b/>
          <w:color w:val="auto"/>
        </w:rPr>
        <w:t xml:space="preserve">Data Availability Statement: </w:t>
      </w:r>
      <w:r w:rsidR="00A010EF" w:rsidRPr="00162B16">
        <w:rPr>
          <w:color w:val="auto"/>
        </w:rPr>
        <w:t>Data can be made available by request to the Directorate for health information and research, Ministry for Health, Malta. https://deputyprimeminister.gov.mt/en/dhir/Pages/Introduction.aspx.</w:t>
      </w:r>
    </w:p>
    <w:bookmarkEnd w:id="3"/>
    <w:p w14:paraId="2FAD1DA7" w14:textId="0B8DC8D6" w:rsidR="00937EA2" w:rsidRPr="00162B16" w:rsidRDefault="00937EA2" w:rsidP="00D2168E">
      <w:pPr>
        <w:pStyle w:val="MDPI62BackMatter"/>
        <w:rPr>
          <w:color w:val="auto"/>
        </w:rPr>
      </w:pPr>
      <w:r w:rsidRPr="00162B16">
        <w:rPr>
          <w:b/>
          <w:color w:val="auto"/>
        </w:rPr>
        <w:t>Acknowledgments:</w:t>
      </w:r>
      <w:r w:rsidRPr="00162B16">
        <w:rPr>
          <w:color w:val="auto"/>
        </w:rPr>
        <w:t xml:space="preserve"> </w:t>
      </w:r>
      <w:r w:rsidR="00A010EF" w:rsidRPr="00162B16">
        <w:rPr>
          <w:color w:val="auto"/>
        </w:rPr>
        <w:t>We would like to thank the Directorate for health information and research for providing us with the data for this study.</w:t>
      </w:r>
    </w:p>
    <w:p w14:paraId="1F57653D" w14:textId="57C6B8A7" w:rsidR="00937EA2" w:rsidRPr="00162B16" w:rsidRDefault="00937EA2" w:rsidP="00D2168E">
      <w:pPr>
        <w:pStyle w:val="MDPI62BackMatter"/>
        <w:rPr>
          <w:color w:val="auto"/>
        </w:rPr>
      </w:pPr>
      <w:r w:rsidRPr="00162B16">
        <w:rPr>
          <w:b/>
          <w:color w:val="auto"/>
        </w:rPr>
        <w:lastRenderedPageBreak/>
        <w:t>Conflicts of Interest:</w:t>
      </w:r>
      <w:r w:rsidRPr="00162B16">
        <w:rPr>
          <w:color w:val="auto"/>
        </w:rPr>
        <w:t xml:space="preserve"> The authors declare no conflict of interest. The funders had no role in the design of the study; in the collection, analyses, or interpretation of data; in the writing of the manuscript, or in the decision to publish the results.</w:t>
      </w:r>
    </w:p>
    <w:p w14:paraId="76D39944" w14:textId="77777777" w:rsidR="00937EA2" w:rsidRPr="00162B16" w:rsidRDefault="00937EA2" w:rsidP="00C226C6">
      <w:pPr>
        <w:pStyle w:val="MDPI21heading1"/>
        <w:rPr>
          <w:color w:val="auto"/>
        </w:rPr>
      </w:pPr>
      <w:r w:rsidRPr="00162B16">
        <w:rPr>
          <w:color w:val="auto"/>
        </w:rPr>
        <w:t>Appendix A</w:t>
      </w:r>
    </w:p>
    <w:p w14:paraId="2EABCA2D" w14:textId="18E87048" w:rsidR="00937EA2" w:rsidRPr="00162B16" w:rsidRDefault="00DF7CFC" w:rsidP="00C226C6">
      <w:pPr>
        <w:pStyle w:val="MDPI31text"/>
        <w:rPr>
          <w:color w:val="auto"/>
        </w:rPr>
      </w:pPr>
      <w:r w:rsidRPr="00162B16">
        <w:rPr>
          <w:color w:val="auto"/>
        </w:rPr>
        <w:t xml:space="preserve">The </w:t>
      </w:r>
      <w:proofErr w:type="gramStart"/>
      <w:r w:rsidRPr="00162B16">
        <w:rPr>
          <w:color w:val="auto"/>
        </w:rPr>
        <w:t>Health</w:t>
      </w:r>
      <w:proofErr w:type="gramEnd"/>
      <w:r w:rsidRPr="00162B16">
        <w:rPr>
          <w:color w:val="auto"/>
        </w:rPr>
        <w:t xml:space="preserve"> interview survey collated data on education into seven different categories: no formal education, primary, lower secondary, upper secondary, post-secondary, tertiary first stage, tertiary second stage. The categories were grouped into five groups no formal education, primary, secondary, and tertiary. (Table A1). Work status was grouped into three categories: unemployed, which included boarded-out and permanent disability, domestic work, pensioners or retired and employed (Table A2).</w:t>
      </w:r>
    </w:p>
    <w:p w14:paraId="28283E1E" w14:textId="77777777" w:rsidR="00DF7CFC" w:rsidRPr="00162B16" w:rsidRDefault="00DF7CFC" w:rsidP="00D2168E">
      <w:pPr>
        <w:pStyle w:val="MDPI31text"/>
        <w:rPr>
          <w:color w:val="auto"/>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2"/>
        <w:gridCol w:w="2017"/>
        <w:gridCol w:w="1986"/>
        <w:gridCol w:w="3961"/>
      </w:tblGrid>
      <w:tr w:rsidR="00162B16" w:rsidRPr="00162B16" w14:paraId="22CD10EE" w14:textId="77777777" w:rsidTr="00DF7CFC">
        <w:trPr>
          <w:jc w:val="center"/>
        </w:trPr>
        <w:tc>
          <w:tcPr>
            <w:tcW w:w="0" w:type="auto"/>
            <w:gridSpan w:val="4"/>
            <w:tcBorders>
              <w:bottom w:val="single" w:sz="4" w:space="0" w:color="auto"/>
            </w:tcBorders>
          </w:tcPr>
          <w:p w14:paraId="25F0D2A0" w14:textId="7BA7ACBB" w:rsidR="00DF7CFC" w:rsidRPr="00162B16" w:rsidRDefault="00C226C6" w:rsidP="00C226C6">
            <w:pPr>
              <w:pStyle w:val="MDPI41tablecaption"/>
              <w:spacing w:before="0" w:after="0"/>
              <w:rPr>
                <w:color w:val="auto"/>
                <w:sz w:val="20"/>
                <w:szCs w:val="20"/>
              </w:rPr>
            </w:pPr>
            <w:r w:rsidRPr="00162B16">
              <w:rPr>
                <w:b/>
                <w:color w:val="auto"/>
                <w:sz w:val="20"/>
                <w:szCs w:val="20"/>
              </w:rPr>
              <w:t xml:space="preserve">Table </w:t>
            </w:r>
            <w:r w:rsidR="00227DA1" w:rsidRPr="00162B16">
              <w:rPr>
                <w:b/>
                <w:color w:val="auto"/>
                <w:sz w:val="20"/>
                <w:szCs w:val="20"/>
              </w:rPr>
              <w:t>A</w:t>
            </w:r>
            <w:r w:rsidRPr="00162B16">
              <w:rPr>
                <w:b/>
                <w:color w:val="auto"/>
                <w:sz w:val="20"/>
                <w:szCs w:val="20"/>
              </w:rPr>
              <w:t xml:space="preserve">1. </w:t>
            </w:r>
            <w:r w:rsidR="00DF7CFC" w:rsidRPr="00162B16">
              <w:rPr>
                <w:color w:val="auto"/>
                <w:sz w:val="20"/>
                <w:szCs w:val="20"/>
              </w:rPr>
              <w:t>Transformation of education categories</w:t>
            </w:r>
            <w:r w:rsidRPr="00162B16">
              <w:rPr>
                <w:color w:val="auto"/>
                <w:sz w:val="20"/>
                <w:szCs w:val="20"/>
              </w:rPr>
              <w:t>.</w:t>
            </w:r>
          </w:p>
        </w:tc>
      </w:tr>
      <w:tr w:rsidR="00162B16" w:rsidRPr="00162B16" w14:paraId="16A29CF4" w14:textId="77777777" w:rsidTr="00DF7CFC">
        <w:trPr>
          <w:jc w:val="center"/>
        </w:trPr>
        <w:tc>
          <w:tcPr>
            <w:tcW w:w="0" w:type="auto"/>
            <w:tcBorders>
              <w:top w:val="single" w:sz="4" w:space="0" w:color="auto"/>
              <w:bottom w:val="single" w:sz="4" w:space="0" w:color="auto"/>
            </w:tcBorders>
          </w:tcPr>
          <w:p w14:paraId="300F34E8" w14:textId="77777777" w:rsidR="00DF7CFC" w:rsidRPr="00162B16" w:rsidRDefault="00DF7CFC" w:rsidP="00D2168E">
            <w:pPr>
              <w:adjustRightInd w:val="0"/>
              <w:snapToGrid w:val="0"/>
              <w:jc w:val="center"/>
              <w:rPr>
                <w:noProof w:val="0"/>
                <w:color w:val="auto"/>
              </w:rPr>
            </w:pPr>
            <w:r w:rsidRPr="00162B16">
              <w:rPr>
                <w:noProof w:val="0"/>
                <w:color w:val="auto"/>
              </w:rPr>
              <w:t>Education categories used in analysis</w:t>
            </w:r>
          </w:p>
        </w:tc>
        <w:tc>
          <w:tcPr>
            <w:tcW w:w="0" w:type="auto"/>
            <w:tcBorders>
              <w:top w:val="single" w:sz="4" w:space="0" w:color="auto"/>
              <w:bottom w:val="single" w:sz="4" w:space="0" w:color="auto"/>
            </w:tcBorders>
          </w:tcPr>
          <w:p w14:paraId="526D75D5" w14:textId="77777777" w:rsidR="00DF7CFC" w:rsidRPr="00162B16" w:rsidRDefault="00DF7CFC" w:rsidP="00D2168E">
            <w:pPr>
              <w:adjustRightInd w:val="0"/>
              <w:snapToGrid w:val="0"/>
              <w:jc w:val="center"/>
              <w:rPr>
                <w:noProof w:val="0"/>
                <w:color w:val="auto"/>
              </w:rPr>
            </w:pPr>
            <w:r w:rsidRPr="00162B16">
              <w:rPr>
                <w:noProof w:val="0"/>
                <w:color w:val="auto"/>
              </w:rPr>
              <w:t>Education categories in 2002</w:t>
            </w:r>
          </w:p>
        </w:tc>
        <w:tc>
          <w:tcPr>
            <w:tcW w:w="0" w:type="auto"/>
            <w:tcBorders>
              <w:top w:val="single" w:sz="4" w:space="0" w:color="auto"/>
              <w:bottom w:val="single" w:sz="4" w:space="0" w:color="auto"/>
            </w:tcBorders>
          </w:tcPr>
          <w:p w14:paraId="4C4E4624" w14:textId="77777777" w:rsidR="00DF7CFC" w:rsidRPr="00162B16" w:rsidRDefault="00DF7CFC" w:rsidP="00D2168E">
            <w:pPr>
              <w:adjustRightInd w:val="0"/>
              <w:snapToGrid w:val="0"/>
              <w:jc w:val="center"/>
              <w:rPr>
                <w:noProof w:val="0"/>
                <w:color w:val="auto"/>
              </w:rPr>
            </w:pPr>
            <w:r w:rsidRPr="00162B16">
              <w:rPr>
                <w:noProof w:val="0"/>
                <w:color w:val="auto"/>
              </w:rPr>
              <w:t>Education categories in 2008</w:t>
            </w:r>
          </w:p>
        </w:tc>
        <w:tc>
          <w:tcPr>
            <w:tcW w:w="0" w:type="auto"/>
            <w:tcBorders>
              <w:top w:val="single" w:sz="4" w:space="0" w:color="auto"/>
              <w:bottom w:val="single" w:sz="4" w:space="0" w:color="auto"/>
            </w:tcBorders>
          </w:tcPr>
          <w:p w14:paraId="71E5C424" w14:textId="77777777" w:rsidR="00DF7CFC" w:rsidRPr="00162B16" w:rsidRDefault="00DF7CFC" w:rsidP="00D2168E">
            <w:pPr>
              <w:adjustRightInd w:val="0"/>
              <w:snapToGrid w:val="0"/>
              <w:jc w:val="center"/>
              <w:rPr>
                <w:noProof w:val="0"/>
                <w:color w:val="auto"/>
              </w:rPr>
            </w:pPr>
            <w:r w:rsidRPr="00162B16">
              <w:rPr>
                <w:noProof w:val="0"/>
                <w:color w:val="auto"/>
              </w:rPr>
              <w:t>Education categories in 2014</w:t>
            </w:r>
          </w:p>
        </w:tc>
      </w:tr>
      <w:tr w:rsidR="00162B16" w:rsidRPr="00162B16" w14:paraId="69845EDB" w14:textId="77777777" w:rsidTr="00DF7CFC">
        <w:trPr>
          <w:jc w:val="center"/>
        </w:trPr>
        <w:tc>
          <w:tcPr>
            <w:tcW w:w="0" w:type="auto"/>
            <w:vMerge w:val="restart"/>
            <w:tcBorders>
              <w:top w:val="single" w:sz="4" w:space="0" w:color="auto"/>
            </w:tcBorders>
            <w:vAlign w:val="center"/>
          </w:tcPr>
          <w:p w14:paraId="776C0A7D"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No Schooling</w:t>
            </w:r>
          </w:p>
        </w:tc>
        <w:tc>
          <w:tcPr>
            <w:tcW w:w="0" w:type="auto"/>
            <w:tcBorders>
              <w:top w:val="single" w:sz="4" w:space="0" w:color="auto"/>
            </w:tcBorders>
            <w:vAlign w:val="center"/>
          </w:tcPr>
          <w:p w14:paraId="06DB530D"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No Schooling</w:t>
            </w:r>
          </w:p>
        </w:tc>
        <w:tc>
          <w:tcPr>
            <w:tcW w:w="0" w:type="auto"/>
            <w:tcBorders>
              <w:top w:val="single" w:sz="4" w:space="0" w:color="auto"/>
            </w:tcBorders>
            <w:vAlign w:val="center"/>
          </w:tcPr>
          <w:p w14:paraId="270DD418"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No formal education</w:t>
            </w:r>
          </w:p>
        </w:tc>
        <w:tc>
          <w:tcPr>
            <w:tcW w:w="0" w:type="auto"/>
            <w:tcBorders>
              <w:top w:val="single" w:sz="4" w:space="0" w:color="auto"/>
            </w:tcBorders>
          </w:tcPr>
          <w:p w14:paraId="588E634D"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No formal education</w:t>
            </w:r>
          </w:p>
        </w:tc>
      </w:tr>
      <w:tr w:rsidR="00162B16" w:rsidRPr="00162B16" w14:paraId="0E8CA442" w14:textId="77777777" w:rsidTr="00DF7CFC">
        <w:trPr>
          <w:jc w:val="center"/>
        </w:trPr>
        <w:tc>
          <w:tcPr>
            <w:tcW w:w="0" w:type="auto"/>
            <w:vMerge/>
            <w:vAlign w:val="center"/>
          </w:tcPr>
          <w:p w14:paraId="1637E841" w14:textId="77777777" w:rsidR="00DF7CFC" w:rsidRPr="00162B16" w:rsidRDefault="00DF7CFC" w:rsidP="00D2168E">
            <w:pPr>
              <w:adjustRightInd w:val="0"/>
              <w:snapToGrid w:val="0"/>
              <w:jc w:val="center"/>
              <w:rPr>
                <w:noProof w:val="0"/>
                <w:color w:val="auto"/>
              </w:rPr>
            </w:pPr>
          </w:p>
        </w:tc>
        <w:tc>
          <w:tcPr>
            <w:tcW w:w="0" w:type="auto"/>
          </w:tcPr>
          <w:p w14:paraId="79D5C047" w14:textId="77777777" w:rsidR="00DF7CFC" w:rsidRPr="00162B16" w:rsidRDefault="00DF7CFC" w:rsidP="00D2168E">
            <w:pPr>
              <w:adjustRightInd w:val="0"/>
              <w:snapToGrid w:val="0"/>
              <w:jc w:val="center"/>
              <w:rPr>
                <w:noProof w:val="0"/>
                <w:color w:val="auto"/>
              </w:rPr>
            </w:pPr>
            <w:r w:rsidRPr="00162B16">
              <w:rPr>
                <w:noProof w:val="0"/>
                <w:color w:val="auto"/>
              </w:rPr>
              <w:t>Special schools</w:t>
            </w:r>
          </w:p>
        </w:tc>
        <w:tc>
          <w:tcPr>
            <w:tcW w:w="0" w:type="auto"/>
          </w:tcPr>
          <w:p w14:paraId="183E6C9D" w14:textId="77777777" w:rsidR="00DF7CFC" w:rsidRPr="00162B16" w:rsidRDefault="00DF7CFC" w:rsidP="00D2168E">
            <w:pPr>
              <w:adjustRightInd w:val="0"/>
              <w:snapToGrid w:val="0"/>
              <w:jc w:val="center"/>
              <w:rPr>
                <w:noProof w:val="0"/>
                <w:color w:val="auto"/>
              </w:rPr>
            </w:pPr>
          </w:p>
        </w:tc>
        <w:tc>
          <w:tcPr>
            <w:tcW w:w="0" w:type="auto"/>
          </w:tcPr>
          <w:p w14:paraId="2DD99096" w14:textId="77777777" w:rsidR="00DF7CFC" w:rsidRPr="00162B16" w:rsidRDefault="00DF7CFC" w:rsidP="00D2168E">
            <w:pPr>
              <w:adjustRightInd w:val="0"/>
              <w:snapToGrid w:val="0"/>
              <w:jc w:val="center"/>
              <w:rPr>
                <w:noProof w:val="0"/>
                <w:color w:val="auto"/>
              </w:rPr>
            </w:pPr>
            <w:r w:rsidRPr="00162B16">
              <w:rPr>
                <w:noProof w:val="0"/>
                <w:color w:val="auto"/>
              </w:rPr>
              <w:t>Schools for special needs</w:t>
            </w:r>
          </w:p>
        </w:tc>
      </w:tr>
      <w:tr w:rsidR="00162B16" w:rsidRPr="00162B16" w14:paraId="1CA120AA" w14:textId="77777777" w:rsidTr="00DF7CFC">
        <w:trPr>
          <w:jc w:val="center"/>
        </w:trPr>
        <w:tc>
          <w:tcPr>
            <w:tcW w:w="0" w:type="auto"/>
            <w:vAlign w:val="center"/>
          </w:tcPr>
          <w:p w14:paraId="448642AE"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Primary</w:t>
            </w:r>
          </w:p>
        </w:tc>
        <w:tc>
          <w:tcPr>
            <w:tcW w:w="0" w:type="auto"/>
          </w:tcPr>
          <w:p w14:paraId="6DB8EAB8"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Primary</w:t>
            </w:r>
          </w:p>
        </w:tc>
        <w:tc>
          <w:tcPr>
            <w:tcW w:w="0" w:type="auto"/>
          </w:tcPr>
          <w:p w14:paraId="6A11890E"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Primary</w:t>
            </w:r>
          </w:p>
        </w:tc>
        <w:tc>
          <w:tcPr>
            <w:tcW w:w="0" w:type="auto"/>
          </w:tcPr>
          <w:p w14:paraId="3DC3D3CC"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Primary</w:t>
            </w:r>
          </w:p>
        </w:tc>
      </w:tr>
      <w:tr w:rsidR="00162B16" w:rsidRPr="00162B16" w14:paraId="3D4E1822" w14:textId="77777777" w:rsidTr="00DF7CFC">
        <w:trPr>
          <w:jc w:val="center"/>
        </w:trPr>
        <w:tc>
          <w:tcPr>
            <w:tcW w:w="0" w:type="auto"/>
            <w:vMerge w:val="restart"/>
            <w:vAlign w:val="center"/>
          </w:tcPr>
          <w:p w14:paraId="6C6ECE48"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Secondary</w:t>
            </w:r>
          </w:p>
          <w:p w14:paraId="71EC86A8" w14:textId="77777777" w:rsidR="00DF7CFC" w:rsidRPr="00162B16" w:rsidRDefault="00DF7CFC" w:rsidP="00D2168E">
            <w:pPr>
              <w:adjustRightInd w:val="0"/>
              <w:snapToGrid w:val="0"/>
              <w:spacing w:line="276" w:lineRule="auto"/>
              <w:jc w:val="center"/>
              <w:rPr>
                <w:noProof w:val="0"/>
                <w:color w:val="auto"/>
              </w:rPr>
            </w:pPr>
          </w:p>
        </w:tc>
        <w:tc>
          <w:tcPr>
            <w:tcW w:w="0" w:type="auto"/>
          </w:tcPr>
          <w:p w14:paraId="19F6C775"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Secondary</w:t>
            </w:r>
          </w:p>
        </w:tc>
        <w:tc>
          <w:tcPr>
            <w:tcW w:w="0" w:type="auto"/>
          </w:tcPr>
          <w:p w14:paraId="2B4E80B0"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Lower Secondary</w:t>
            </w:r>
          </w:p>
        </w:tc>
        <w:tc>
          <w:tcPr>
            <w:tcW w:w="0" w:type="auto"/>
          </w:tcPr>
          <w:p w14:paraId="7DABA7B7"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Secondary general</w:t>
            </w:r>
          </w:p>
        </w:tc>
      </w:tr>
      <w:tr w:rsidR="00162B16" w:rsidRPr="00162B16" w14:paraId="3904CED3" w14:textId="77777777" w:rsidTr="00DF7CFC">
        <w:trPr>
          <w:trHeight w:val="190"/>
          <w:jc w:val="center"/>
        </w:trPr>
        <w:tc>
          <w:tcPr>
            <w:tcW w:w="0" w:type="auto"/>
            <w:vMerge/>
            <w:vAlign w:val="center"/>
          </w:tcPr>
          <w:p w14:paraId="7800A58B" w14:textId="77777777" w:rsidR="00DF7CFC" w:rsidRPr="00162B16" w:rsidRDefault="00DF7CFC" w:rsidP="00D2168E">
            <w:pPr>
              <w:adjustRightInd w:val="0"/>
              <w:snapToGrid w:val="0"/>
              <w:spacing w:line="276" w:lineRule="auto"/>
              <w:jc w:val="center"/>
              <w:rPr>
                <w:noProof w:val="0"/>
                <w:color w:val="auto"/>
              </w:rPr>
            </w:pPr>
          </w:p>
        </w:tc>
        <w:tc>
          <w:tcPr>
            <w:tcW w:w="0" w:type="auto"/>
            <w:vMerge w:val="restart"/>
            <w:vAlign w:val="center"/>
          </w:tcPr>
          <w:p w14:paraId="4BDBB37E"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Upper secondary</w:t>
            </w:r>
          </w:p>
        </w:tc>
        <w:tc>
          <w:tcPr>
            <w:tcW w:w="0" w:type="auto"/>
            <w:vMerge w:val="restart"/>
            <w:vAlign w:val="center"/>
          </w:tcPr>
          <w:p w14:paraId="4681B520"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Upper secondary</w:t>
            </w:r>
          </w:p>
        </w:tc>
        <w:tc>
          <w:tcPr>
            <w:tcW w:w="0" w:type="auto"/>
          </w:tcPr>
          <w:p w14:paraId="790E69FC"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Secondary with vocational training</w:t>
            </w:r>
          </w:p>
        </w:tc>
      </w:tr>
      <w:tr w:rsidR="00162B16" w:rsidRPr="00162B16" w14:paraId="60BED87E" w14:textId="77777777" w:rsidTr="00DF7CFC">
        <w:trPr>
          <w:trHeight w:val="190"/>
          <w:jc w:val="center"/>
        </w:trPr>
        <w:tc>
          <w:tcPr>
            <w:tcW w:w="0" w:type="auto"/>
            <w:vMerge/>
            <w:vAlign w:val="center"/>
          </w:tcPr>
          <w:p w14:paraId="087F4C3F" w14:textId="77777777" w:rsidR="00DF7CFC" w:rsidRPr="00162B16" w:rsidRDefault="00DF7CFC" w:rsidP="00D2168E">
            <w:pPr>
              <w:adjustRightInd w:val="0"/>
              <w:snapToGrid w:val="0"/>
              <w:spacing w:line="276" w:lineRule="auto"/>
              <w:jc w:val="center"/>
              <w:rPr>
                <w:noProof w:val="0"/>
                <w:color w:val="auto"/>
              </w:rPr>
            </w:pPr>
          </w:p>
        </w:tc>
        <w:tc>
          <w:tcPr>
            <w:tcW w:w="0" w:type="auto"/>
            <w:vMerge/>
            <w:vAlign w:val="center"/>
          </w:tcPr>
          <w:p w14:paraId="169CCD54" w14:textId="77777777" w:rsidR="00DF7CFC" w:rsidRPr="00162B16" w:rsidRDefault="00DF7CFC" w:rsidP="00D2168E">
            <w:pPr>
              <w:adjustRightInd w:val="0"/>
              <w:snapToGrid w:val="0"/>
              <w:spacing w:line="276" w:lineRule="auto"/>
              <w:jc w:val="center"/>
              <w:rPr>
                <w:noProof w:val="0"/>
                <w:color w:val="auto"/>
              </w:rPr>
            </w:pPr>
          </w:p>
        </w:tc>
        <w:tc>
          <w:tcPr>
            <w:tcW w:w="0" w:type="auto"/>
            <w:vMerge/>
            <w:vAlign w:val="center"/>
          </w:tcPr>
          <w:p w14:paraId="187DCB16" w14:textId="77777777" w:rsidR="00DF7CFC" w:rsidRPr="00162B16" w:rsidRDefault="00DF7CFC" w:rsidP="00D2168E">
            <w:pPr>
              <w:adjustRightInd w:val="0"/>
              <w:snapToGrid w:val="0"/>
              <w:spacing w:line="276" w:lineRule="auto"/>
              <w:jc w:val="center"/>
              <w:rPr>
                <w:noProof w:val="0"/>
                <w:color w:val="auto"/>
              </w:rPr>
            </w:pPr>
          </w:p>
        </w:tc>
        <w:tc>
          <w:tcPr>
            <w:tcW w:w="0" w:type="auto"/>
          </w:tcPr>
          <w:p w14:paraId="2CE4CDFB"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Foundation and introductory courses at MCAST 1 or less year</w:t>
            </w:r>
          </w:p>
        </w:tc>
      </w:tr>
      <w:tr w:rsidR="00162B16" w:rsidRPr="00162B16" w14:paraId="030A8204" w14:textId="77777777" w:rsidTr="00DF7CFC">
        <w:trPr>
          <w:trHeight w:val="190"/>
          <w:jc w:val="center"/>
        </w:trPr>
        <w:tc>
          <w:tcPr>
            <w:tcW w:w="0" w:type="auto"/>
            <w:vMerge/>
            <w:vAlign w:val="center"/>
          </w:tcPr>
          <w:p w14:paraId="14845076" w14:textId="77777777" w:rsidR="00DF7CFC" w:rsidRPr="00162B16" w:rsidRDefault="00DF7CFC" w:rsidP="00D2168E">
            <w:pPr>
              <w:adjustRightInd w:val="0"/>
              <w:snapToGrid w:val="0"/>
              <w:spacing w:line="276" w:lineRule="auto"/>
              <w:jc w:val="center"/>
              <w:rPr>
                <w:noProof w:val="0"/>
                <w:color w:val="auto"/>
              </w:rPr>
            </w:pPr>
          </w:p>
        </w:tc>
        <w:tc>
          <w:tcPr>
            <w:tcW w:w="0" w:type="auto"/>
            <w:vMerge/>
            <w:vAlign w:val="center"/>
          </w:tcPr>
          <w:p w14:paraId="330F8DEB" w14:textId="77777777" w:rsidR="00DF7CFC" w:rsidRPr="00162B16" w:rsidRDefault="00DF7CFC" w:rsidP="00D2168E">
            <w:pPr>
              <w:adjustRightInd w:val="0"/>
              <w:snapToGrid w:val="0"/>
              <w:spacing w:line="276" w:lineRule="auto"/>
              <w:jc w:val="center"/>
              <w:rPr>
                <w:noProof w:val="0"/>
                <w:color w:val="auto"/>
              </w:rPr>
            </w:pPr>
          </w:p>
        </w:tc>
        <w:tc>
          <w:tcPr>
            <w:tcW w:w="0" w:type="auto"/>
            <w:vMerge/>
            <w:vAlign w:val="center"/>
          </w:tcPr>
          <w:p w14:paraId="76C43C0C" w14:textId="77777777" w:rsidR="00DF7CFC" w:rsidRPr="00162B16" w:rsidRDefault="00DF7CFC" w:rsidP="00D2168E">
            <w:pPr>
              <w:adjustRightInd w:val="0"/>
              <w:snapToGrid w:val="0"/>
              <w:spacing w:line="276" w:lineRule="auto"/>
              <w:jc w:val="center"/>
              <w:rPr>
                <w:noProof w:val="0"/>
                <w:color w:val="auto"/>
              </w:rPr>
            </w:pPr>
          </w:p>
        </w:tc>
        <w:tc>
          <w:tcPr>
            <w:tcW w:w="0" w:type="auto"/>
          </w:tcPr>
          <w:p w14:paraId="614083BB"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Post-secondary general</w:t>
            </w:r>
          </w:p>
        </w:tc>
      </w:tr>
      <w:tr w:rsidR="00162B16" w:rsidRPr="00162B16" w14:paraId="083582B6" w14:textId="77777777" w:rsidTr="00DF7CFC">
        <w:trPr>
          <w:trHeight w:val="190"/>
          <w:jc w:val="center"/>
        </w:trPr>
        <w:tc>
          <w:tcPr>
            <w:tcW w:w="0" w:type="auto"/>
            <w:vMerge/>
            <w:vAlign w:val="center"/>
          </w:tcPr>
          <w:p w14:paraId="452A8834" w14:textId="77777777" w:rsidR="00DF7CFC" w:rsidRPr="00162B16" w:rsidRDefault="00DF7CFC" w:rsidP="00D2168E">
            <w:pPr>
              <w:adjustRightInd w:val="0"/>
              <w:snapToGrid w:val="0"/>
              <w:spacing w:line="276" w:lineRule="auto"/>
              <w:jc w:val="center"/>
              <w:rPr>
                <w:noProof w:val="0"/>
                <w:color w:val="auto"/>
              </w:rPr>
            </w:pPr>
          </w:p>
        </w:tc>
        <w:tc>
          <w:tcPr>
            <w:tcW w:w="0" w:type="auto"/>
            <w:vMerge/>
            <w:vAlign w:val="center"/>
          </w:tcPr>
          <w:p w14:paraId="0BB807F1" w14:textId="77777777" w:rsidR="00DF7CFC" w:rsidRPr="00162B16" w:rsidRDefault="00DF7CFC" w:rsidP="00D2168E">
            <w:pPr>
              <w:adjustRightInd w:val="0"/>
              <w:snapToGrid w:val="0"/>
              <w:spacing w:line="276" w:lineRule="auto"/>
              <w:jc w:val="center"/>
              <w:rPr>
                <w:noProof w:val="0"/>
                <w:color w:val="auto"/>
              </w:rPr>
            </w:pPr>
          </w:p>
        </w:tc>
        <w:tc>
          <w:tcPr>
            <w:tcW w:w="0" w:type="auto"/>
            <w:vMerge w:val="restart"/>
            <w:vAlign w:val="center"/>
          </w:tcPr>
          <w:p w14:paraId="2E1552E3"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Post-secondary</w:t>
            </w:r>
          </w:p>
        </w:tc>
        <w:tc>
          <w:tcPr>
            <w:tcW w:w="0" w:type="auto"/>
          </w:tcPr>
          <w:p w14:paraId="031999FF"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Post-secondary vocational courses of 2 years or less</w:t>
            </w:r>
          </w:p>
        </w:tc>
      </w:tr>
      <w:tr w:rsidR="00162B16" w:rsidRPr="00162B16" w14:paraId="3A397A92" w14:textId="77777777" w:rsidTr="00DF7CFC">
        <w:trPr>
          <w:trHeight w:val="190"/>
          <w:jc w:val="center"/>
        </w:trPr>
        <w:tc>
          <w:tcPr>
            <w:tcW w:w="0" w:type="auto"/>
            <w:vMerge/>
            <w:vAlign w:val="center"/>
          </w:tcPr>
          <w:p w14:paraId="07E44701" w14:textId="77777777" w:rsidR="00DF7CFC" w:rsidRPr="00162B16" w:rsidRDefault="00DF7CFC" w:rsidP="00D2168E">
            <w:pPr>
              <w:adjustRightInd w:val="0"/>
              <w:snapToGrid w:val="0"/>
              <w:spacing w:line="276" w:lineRule="auto"/>
              <w:jc w:val="center"/>
              <w:rPr>
                <w:noProof w:val="0"/>
                <w:color w:val="auto"/>
              </w:rPr>
            </w:pPr>
          </w:p>
        </w:tc>
        <w:tc>
          <w:tcPr>
            <w:tcW w:w="0" w:type="auto"/>
            <w:vMerge/>
            <w:vAlign w:val="center"/>
          </w:tcPr>
          <w:p w14:paraId="5B84B563" w14:textId="77777777" w:rsidR="00DF7CFC" w:rsidRPr="00162B16" w:rsidRDefault="00DF7CFC" w:rsidP="00D2168E">
            <w:pPr>
              <w:adjustRightInd w:val="0"/>
              <w:snapToGrid w:val="0"/>
              <w:spacing w:line="276" w:lineRule="auto"/>
              <w:jc w:val="center"/>
              <w:rPr>
                <w:noProof w:val="0"/>
                <w:color w:val="auto"/>
              </w:rPr>
            </w:pPr>
          </w:p>
        </w:tc>
        <w:tc>
          <w:tcPr>
            <w:tcW w:w="0" w:type="auto"/>
            <w:vMerge/>
            <w:vAlign w:val="center"/>
          </w:tcPr>
          <w:p w14:paraId="0D2F8537" w14:textId="77777777" w:rsidR="00DF7CFC" w:rsidRPr="00162B16" w:rsidRDefault="00DF7CFC" w:rsidP="00D2168E">
            <w:pPr>
              <w:adjustRightInd w:val="0"/>
              <w:snapToGrid w:val="0"/>
              <w:spacing w:line="276" w:lineRule="auto"/>
              <w:jc w:val="center"/>
              <w:rPr>
                <w:noProof w:val="0"/>
                <w:color w:val="auto"/>
              </w:rPr>
            </w:pPr>
          </w:p>
        </w:tc>
        <w:tc>
          <w:tcPr>
            <w:tcW w:w="0" w:type="auto"/>
          </w:tcPr>
          <w:p w14:paraId="7316514A"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Post-secondary vocational courses of more than 2 years</w:t>
            </w:r>
          </w:p>
        </w:tc>
      </w:tr>
      <w:tr w:rsidR="00162B16" w:rsidRPr="00162B16" w14:paraId="73D43440" w14:textId="77777777" w:rsidTr="00DF7CFC">
        <w:trPr>
          <w:trHeight w:val="190"/>
          <w:jc w:val="center"/>
        </w:trPr>
        <w:tc>
          <w:tcPr>
            <w:tcW w:w="0" w:type="auto"/>
            <w:vMerge/>
            <w:vAlign w:val="center"/>
          </w:tcPr>
          <w:p w14:paraId="4A200217" w14:textId="77777777" w:rsidR="00DF7CFC" w:rsidRPr="00162B16" w:rsidRDefault="00DF7CFC" w:rsidP="00D2168E">
            <w:pPr>
              <w:adjustRightInd w:val="0"/>
              <w:snapToGrid w:val="0"/>
              <w:spacing w:line="276" w:lineRule="auto"/>
              <w:jc w:val="center"/>
              <w:rPr>
                <w:noProof w:val="0"/>
                <w:color w:val="auto"/>
              </w:rPr>
            </w:pPr>
          </w:p>
        </w:tc>
        <w:tc>
          <w:tcPr>
            <w:tcW w:w="0" w:type="auto"/>
            <w:vMerge/>
            <w:vAlign w:val="center"/>
          </w:tcPr>
          <w:p w14:paraId="48FCF808" w14:textId="77777777" w:rsidR="00DF7CFC" w:rsidRPr="00162B16" w:rsidRDefault="00DF7CFC" w:rsidP="00D2168E">
            <w:pPr>
              <w:adjustRightInd w:val="0"/>
              <w:snapToGrid w:val="0"/>
              <w:spacing w:line="276" w:lineRule="auto"/>
              <w:jc w:val="center"/>
              <w:rPr>
                <w:noProof w:val="0"/>
                <w:color w:val="auto"/>
              </w:rPr>
            </w:pPr>
          </w:p>
        </w:tc>
        <w:tc>
          <w:tcPr>
            <w:tcW w:w="0" w:type="auto"/>
            <w:vMerge/>
            <w:vAlign w:val="center"/>
          </w:tcPr>
          <w:p w14:paraId="2BC43648" w14:textId="77777777" w:rsidR="00DF7CFC" w:rsidRPr="00162B16" w:rsidRDefault="00DF7CFC" w:rsidP="00D2168E">
            <w:pPr>
              <w:adjustRightInd w:val="0"/>
              <w:snapToGrid w:val="0"/>
              <w:spacing w:line="276" w:lineRule="auto"/>
              <w:jc w:val="center"/>
              <w:rPr>
                <w:noProof w:val="0"/>
                <w:color w:val="auto"/>
              </w:rPr>
            </w:pPr>
          </w:p>
        </w:tc>
        <w:tc>
          <w:tcPr>
            <w:tcW w:w="0" w:type="auto"/>
          </w:tcPr>
          <w:p w14:paraId="216326CC"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University level diploma/certificate of MCAST higher nation</w:t>
            </w:r>
          </w:p>
        </w:tc>
      </w:tr>
      <w:tr w:rsidR="00162B16" w:rsidRPr="00162B16" w14:paraId="11CAD27D" w14:textId="77777777" w:rsidTr="00DF7CFC">
        <w:trPr>
          <w:trHeight w:val="278"/>
          <w:jc w:val="center"/>
        </w:trPr>
        <w:tc>
          <w:tcPr>
            <w:tcW w:w="0" w:type="auto"/>
            <w:vMerge w:val="restart"/>
            <w:vAlign w:val="center"/>
          </w:tcPr>
          <w:p w14:paraId="2EE57AC8"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Tertiary</w:t>
            </w:r>
          </w:p>
        </w:tc>
        <w:tc>
          <w:tcPr>
            <w:tcW w:w="0" w:type="auto"/>
            <w:vMerge w:val="restart"/>
            <w:vAlign w:val="center"/>
          </w:tcPr>
          <w:p w14:paraId="34A40421"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Tertiary</w:t>
            </w:r>
          </w:p>
        </w:tc>
        <w:tc>
          <w:tcPr>
            <w:tcW w:w="0" w:type="auto"/>
            <w:vMerge w:val="restart"/>
            <w:vAlign w:val="center"/>
          </w:tcPr>
          <w:p w14:paraId="133F25AE"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Tertiary first stage</w:t>
            </w:r>
          </w:p>
        </w:tc>
        <w:tc>
          <w:tcPr>
            <w:tcW w:w="0" w:type="auto"/>
          </w:tcPr>
          <w:p w14:paraId="789546D2"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Bachelor’s degree or equivalent</w:t>
            </w:r>
          </w:p>
        </w:tc>
      </w:tr>
      <w:tr w:rsidR="00162B16" w:rsidRPr="00162B16" w14:paraId="7C7417A1" w14:textId="77777777" w:rsidTr="00DF7CFC">
        <w:trPr>
          <w:trHeight w:val="277"/>
          <w:jc w:val="center"/>
        </w:trPr>
        <w:tc>
          <w:tcPr>
            <w:tcW w:w="0" w:type="auto"/>
            <w:vMerge/>
            <w:vAlign w:val="center"/>
          </w:tcPr>
          <w:p w14:paraId="2CF9C3FA" w14:textId="77777777" w:rsidR="00DF7CFC" w:rsidRPr="00162B16" w:rsidRDefault="00DF7CFC" w:rsidP="00D2168E">
            <w:pPr>
              <w:adjustRightInd w:val="0"/>
              <w:snapToGrid w:val="0"/>
              <w:spacing w:line="276" w:lineRule="auto"/>
              <w:rPr>
                <w:noProof w:val="0"/>
                <w:color w:val="auto"/>
              </w:rPr>
            </w:pPr>
          </w:p>
        </w:tc>
        <w:tc>
          <w:tcPr>
            <w:tcW w:w="0" w:type="auto"/>
            <w:vMerge/>
            <w:vAlign w:val="center"/>
          </w:tcPr>
          <w:p w14:paraId="04E01B00" w14:textId="77777777" w:rsidR="00DF7CFC" w:rsidRPr="00162B16" w:rsidRDefault="00DF7CFC" w:rsidP="00D2168E">
            <w:pPr>
              <w:adjustRightInd w:val="0"/>
              <w:snapToGrid w:val="0"/>
              <w:spacing w:line="276" w:lineRule="auto"/>
              <w:jc w:val="center"/>
              <w:rPr>
                <w:noProof w:val="0"/>
                <w:color w:val="auto"/>
              </w:rPr>
            </w:pPr>
          </w:p>
        </w:tc>
        <w:tc>
          <w:tcPr>
            <w:tcW w:w="0" w:type="auto"/>
            <w:vMerge/>
            <w:vAlign w:val="center"/>
          </w:tcPr>
          <w:p w14:paraId="247885ED" w14:textId="77777777" w:rsidR="00DF7CFC" w:rsidRPr="00162B16" w:rsidRDefault="00DF7CFC" w:rsidP="00D2168E">
            <w:pPr>
              <w:adjustRightInd w:val="0"/>
              <w:snapToGrid w:val="0"/>
              <w:spacing w:line="276" w:lineRule="auto"/>
              <w:jc w:val="center"/>
              <w:rPr>
                <w:noProof w:val="0"/>
                <w:color w:val="auto"/>
              </w:rPr>
            </w:pPr>
          </w:p>
        </w:tc>
        <w:tc>
          <w:tcPr>
            <w:tcW w:w="0" w:type="auto"/>
          </w:tcPr>
          <w:p w14:paraId="3EB68E0B"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Postgraduate diploma/certificate</w:t>
            </w:r>
          </w:p>
        </w:tc>
      </w:tr>
      <w:tr w:rsidR="00162B16" w:rsidRPr="00162B16" w14:paraId="52803A48" w14:textId="77777777" w:rsidTr="00DF7CFC">
        <w:trPr>
          <w:trHeight w:val="413"/>
          <w:jc w:val="center"/>
        </w:trPr>
        <w:tc>
          <w:tcPr>
            <w:tcW w:w="0" w:type="auto"/>
            <w:vMerge/>
            <w:vAlign w:val="center"/>
          </w:tcPr>
          <w:p w14:paraId="0CBB8150" w14:textId="77777777" w:rsidR="00DF7CFC" w:rsidRPr="00162B16" w:rsidRDefault="00DF7CFC" w:rsidP="00D2168E">
            <w:pPr>
              <w:adjustRightInd w:val="0"/>
              <w:snapToGrid w:val="0"/>
              <w:spacing w:line="276" w:lineRule="auto"/>
              <w:rPr>
                <w:noProof w:val="0"/>
                <w:color w:val="auto"/>
              </w:rPr>
            </w:pPr>
          </w:p>
        </w:tc>
        <w:tc>
          <w:tcPr>
            <w:tcW w:w="0" w:type="auto"/>
            <w:vMerge/>
            <w:vAlign w:val="center"/>
          </w:tcPr>
          <w:p w14:paraId="105C9D6D" w14:textId="77777777" w:rsidR="00DF7CFC" w:rsidRPr="00162B16" w:rsidRDefault="00DF7CFC" w:rsidP="00D2168E">
            <w:pPr>
              <w:adjustRightInd w:val="0"/>
              <w:snapToGrid w:val="0"/>
              <w:spacing w:line="276" w:lineRule="auto"/>
              <w:jc w:val="center"/>
              <w:rPr>
                <w:noProof w:val="0"/>
                <w:color w:val="auto"/>
              </w:rPr>
            </w:pPr>
          </w:p>
        </w:tc>
        <w:tc>
          <w:tcPr>
            <w:tcW w:w="0" w:type="auto"/>
            <w:vMerge w:val="restart"/>
            <w:vAlign w:val="center"/>
          </w:tcPr>
          <w:p w14:paraId="4C101D63"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Tertiary second stage</w:t>
            </w:r>
          </w:p>
        </w:tc>
        <w:tc>
          <w:tcPr>
            <w:tcW w:w="0" w:type="auto"/>
          </w:tcPr>
          <w:p w14:paraId="2144410C"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Master’s degree</w:t>
            </w:r>
          </w:p>
        </w:tc>
      </w:tr>
      <w:tr w:rsidR="00162B16" w:rsidRPr="00162B16" w14:paraId="6794855A" w14:textId="77777777" w:rsidTr="00DF7CFC">
        <w:trPr>
          <w:trHeight w:val="412"/>
          <w:jc w:val="center"/>
        </w:trPr>
        <w:tc>
          <w:tcPr>
            <w:tcW w:w="0" w:type="auto"/>
            <w:vMerge/>
            <w:vAlign w:val="center"/>
          </w:tcPr>
          <w:p w14:paraId="1C48BC97" w14:textId="77777777" w:rsidR="00DF7CFC" w:rsidRPr="00162B16" w:rsidRDefault="00DF7CFC" w:rsidP="00D2168E">
            <w:pPr>
              <w:adjustRightInd w:val="0"/>
              <w:snapToGrid w:val="0"/>
              <w:spacing w:line="276" w:lineRule="auto"/>
              <w:rPr>
                <w:noProof w:val="0"/>
                <w:color w:val="auto"/>
              </w:rPr>
            </w:pPr>
          </w:p>
        </w:tc>
        <w:tc>
          <w:tcPr>
            <w:tcW w:w="0" w:type="auto"/>
            <w:vMerge/>
            <w:vAlign w:val="center"/>
          </w:tcPr>
          <w:p w14:paraId="2D77BDEE" w14:textId="77777777" w:rsidR="00DF7CFC" w:rsidRPr="00162B16" w:rsidRDefault="00DF7CFC" w:rsidP="00D2168E">
            <w:pPr>
              <w:adjustRightInd w:val="0"/>
              <w:snapToGrid w:val="0"/>
              <w:spacing w:line="276" w:lineRule="auto"/>
              <w:jc w:val="center"/>
              <w:rPr>
                <w:noProof w:val="0"/>
                <w:color w:val="auto"/>
              </w:rPr>
            </w:pPr>
          </w:p>
        </w:tc>
        <w:tc>
          <w:tcPr>
            <w:tcW w:w="0" w:type="auto"/>
            <w:vMerge/>
            <w:vAlign w:val="center"/>
          </w:tcPr>
          <w:p w14:paraId="65BE1B77" w14:textId="77777777" w:rsidR="00DF7CFC" w:rsidRPr="00162B16" w:rsidRDefault="00DF7CFC" w:rsidP="00D2168E">
            <w:pPr>
              <w:adjustRightInd w:val="0"/>
              <w:snapToGrid w:val="0"/>
              <w:spacing w:line="276" w:lineRule="auto"/>
              <w:rPr>
                <w:noProof w:val="0"/>
                <w:color w:val="auto"/>
              </w:rPr>
            </w:pPr>
          </w:p>
        </w:tc>
        <w:tc>
          <w:tcPr>
            <w:tcW w:w="0" w:type="auto"/>
          </w:tcPr>
          <w:p w14:paraId="4930936C"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PhD</w:t>
            </w:r>
          </w:p>
        </w:tc>
      </w:tr>
      <w:tr w:rsidR="00DF7CFC" w:rsidRPr="00162B16" w14:paraId="13690BBE" w14:textId="77777777" w:rsidTr="00DF7CFC">
        <w:trPr>
          <w:jc w:val="center"/>
        </w:trPr>
        <w:tc>
          <w:tcPr>
            <w:tcW w:w="0" w:type="auto"/>
            <w:gridSpan w:val="4"/>
            <w:tcBorders>
              <w:top w:val="single" w:sz="4" w:space="0" w:color="auto"/>
            </w:tcBorders>
          </w:tcPr>
          <w:p w14:paraId="47CCB5D8" w14:textId="77777777" w:rsidR="00DF7CFC" w:rsidRPr="00162B16" w:rsidRDefault="00DF7CFC" w:rsidP="00D2168E">
            <w:pPr>
              <w:adjustRightInd w:val="0"/>
              <w:snapToGrid w:val="0"/>
              <w:rPr>
                <w:noProof w:val="0"/>
                <w:color w:val="auto"/>
              </w:rPr>
            </w:pPr>
          </w:p>
        </w:tc>
      </w:tr>
    </w:tbl>
    <w:p w14:paraId="3993650F" w14:textId="12DF7F55" w:rsidR="00DF7CFC" w:rsidRPr="00162B16" w:rsidRDefault="00DF7CFC" w:rsidP="00D2168E">
      <w:pPr>
        <w:pStyle w:val="MDPI31text"/>
        <w:rPr>
          <w:color w:val="auto"/>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0"/>
        <w:gridCol w:w="2254"/>
        <w:gridCol w:w="2837"/>
        <w:gridCol w:w="2385"/>
      </w:tblGrid>
      <w:tr w:rsidR="00162B16" w:rsidRPr="00162B16" w14:paraId="17F8D80B" w14:textId="77777777" w:rsidTr="00DF7CFC">
        <w:trPr>
          <w:trHeight w:val="341"/>
          <w:jc w:val="center"/>
        </w:trPr>
        <w:tc>
          <w:tcPr>
            <w:tcW w:w="0" w:type="auto"/>
            <w:gridSpan w:val="4"/>
            <w:tcBorders>
              <w:bottom w:val="single" w:sz="4" w:space="0" w:color="auto"/>
            </w:tcBorders>
          </w:tcPr>
          <w:p w14:paraId="07F6892A" w14:textId="3B251E2D" w:rsidR="00DF7CFC" w:rsidRPr="00162B16" w:rsidRDefault="00C226C6" w:rsidP="00C226C6">
            <w:pPr>
              <w:pStyle w:val="MDPI41tablecaption"/>
              <w:spacing w:before="0" w:after="0"/>
              <w:rPr>
                <w:color w:val="auto"/>
              </w:rPr>
            </w:pPr>
            <w:r w:rsidRPr="00162B16">
              <w:rPr>
                <w:b/>
                <w:color w:val="auto"/>
              </w:rPr>
              <w:t xml:space="preserve">Table </w:t>
            </w:r>
            <w:r w:rsidR="00227DA1" w:rsidRPr="00162B16">
              <w:rPr>
                <w:b/>
                <w:color w:val="auto"/>
              </w:rPr>
              <w:t>A</w:t>
            </w:r>
            <w:r w:rsidRPr="00162B16">
              <w:rPr>
                <w:b/>
                <w:color w:val="auto"/>
              </w:rPr>
              <w:t xml:space="preserve">2. </w:t>
            </w:r>
            <w:r w:rsidR="00DF7CFC" w:rsidRPr="00162B16">
              <w:rPr>
                <w:color w:val="auto"/>
              </w:rPr>
              <w:t>Transformation of work categories</w:t>
            </w:r>
            <w:r w:rsidRPr="00162B16">
              <w:rPr>
                <w:color w:val="auto"/>
              </w:rPr>
              <w:t>.</w:t>
            </w:r>
          </w:p>
        </w:tc>
      </w:tr>
      <w:tr w:rsidR="00162B16" w:rsidRPr="00162B16" w14:paraId="28700DB3" w14:textId="77777777" w:rsidTr="00DF7CFC">
        <w:trPr>
          <w:trHeight w:val="341"/>
          <w:jc w:val="center"/>
        </w:trPr>
        <w:tc>
          <w:tcPr>
            <w:tcW w:w="0" w:type="auto"/>
            <w:tcBorders>
              <w:top w:val="single" w:sz="4" w:space="0" w:color="auto"/>
              <w:bottom w:val="single" w:sz="4" w:space="0" w:color="auto"/>
            </w:tcBorders>
          </w:tcPr>
          <w:p w14:paraId="4084D1EC" w14:textId="77777777" w:rsidR="00DF7CFC" w:rsidRPr="00162B16" w:rsidRDefault="00DF7CFC" w:rsidP="00D2168E">
            <w:pPr>
              <w:adjustRightInd w:val="0"/>
              <w:snapToGrid w:val="0"/>
              <w:jc w:val="center"/>
              <w:rPr>
                <w:noProof w:val="0"/>
                <w:color w:val="auto"/>
              </w:rPr>
            </w:pPr>
            <w:r w:rsidRPr="00162B16">
              <w:rPr>
                <w:noProof w:val="0"/>
                <w:color w:val="auto"/>
              </w:rPr>
              <w:t>Work categories used in analysis</w:t>
            </w:r>
          </w:p>
        </w:tc>
        <w:tc>
          <w:tcPr>
            <w:tcW w:w="0" w:type="auto"/>
            <w:tcBorders>
              <w:top w:val="single" w:sz="4" w:space="0" w:color="auto"/>
              <w:bottom w:val="single" w:sz="4" w:space="0" w:color="auto"/>
            </w:tcBorders>
          </w:tcPr>
          <w:p w14:paraId="42761FDA" w14:textId="77777777" w:rsidR="00DF7CFC" w:rsidRPr="00162B16" w:rsidRDefault="00DF7CFC" w:rsidP="00D2168E">
            <w:pPr>
              <w:adjustRightInd w:val="0"/>
              <w:snapToGrid w:val="0"/>
              <w:jc w:val="center"/>
              <w:rPr>
                <w:noProof w:val="0"/>
                <w:color w:val="auto"/>
              </w:rPr>
            </w:pPr>
            <w:r w:rsidRPr="00162B16">
              <w:rPr>
                <w:noProof w:val="0"/>
                <w:color w:val="auto"/>
              </w:rPr>
              <w:t>Work categories in 2002</w:t>
            </w:r>
          </w:p>
        </w:tc>
        <w:tc>
          <w:tcPr>
            <w:tcW w:w="0" w:type="auto"/>
            <w:tcBorders>
              <w:top w:val="single" w:sz="4" w:space="0" w:color="auto"/>
              <w:bottom w:val="single" w:sz="4" w:space="0" w:color="auto"/>
            </w:tcBorders>
          </w:tcPr>
          <w:p w14:paraId="48B0D539" w14:textId="77777777" w:rsidR="00DF7CFC" w:rsidRPr="00162B16" w:rsidRDefault="00DF7CFC" w:rsidP="00D2168E">
            <w:pPr>
              <w:adjustRightInd w:val="0"/>
              <w:snapToGrid w:val="0"/>
              <w:jc w:val="center"/>
              <w:rPr>
                <w:noProof w:val="0"/>
                <w:color w:val="auto"/>
              </w:rPr>
            </w:pPr>
            <w:r w:rsidRPr="00162B16">
              <w:rPr>
                <w:noProof w:val="0"/>
                <w:color w:val="auto"/>
              </w:rPr>
              <w:t>Work categories in 2008</w:t>
            </w:r>
          </w:p>
        </w:tc>
        <w:tc>
          <w:tcPr>
            <w:tcW w:w="0" w:type="auto"/>
            <w:tcBorders>
              <w:top w:val="single" w:sz="4" w:space="0" w:color="auto"/>
              <w:bottom w:val="single" w:sz="4" w:space="0" w:color="auto"/>
            </w:tcBorders>
          </w:tcPr>
          <w:p w14:paraId="42F0BC2E" w14:textId="77777777" w:rsidR="00DF7CFC" w:rsidRPr="00162B16" w:rsidRDefault="00DF7CFC" w:rsidP="00D2168E">
            <w:pPr>
              <w:adjustRightInd w:val="0"/>
              <w:snapToGrid w:val="0"/>
              <w:jc w:val="center"/>
              <w:rPr>
                <w:noProof w:val="0"/>
                <w:color w:val="auto"/>
              </w:rPr>
            </w:pPr>
            <w:r w:rsidRPr="00162B16">
              <w:rPr>
                <w:noProof w:val="0"/>
                <w:color w:val="auto"/>
              </w:rPr>
              <w:t>Work categories in 2014</w:t>
            </w:r>
          </w:p>
        </w:tc>
      </w:tr>
      <w:tr w:rsidR="00162B16" w:rsidRPr="00162B16" w14:paraId="5CB8A980" w14:textId="77777777" w:rsidTr="00DF7CFC">
        <w:trPr>
          <w:trHeight w:val="135"/>
          <w:jc w:val="center"/>
        </w:trPr>
        <w:tc>
          <w:tcPr>
            <w:tcW w:w="0" w:type="auto"/>
            <w:vMerge w:val="restart"/>
            <w:tcBorders>
              <w:top w:val="single" w:sz="4" w:space="0" w:color="auto"/>
            </w:tcBorders>
            <w:vAlign w:val="center"/>
          </w:tcPr>
          <w:p w14:paraId="6DCA4F76" w14:textId="77777777" w:rsidR="00DF7CFC" w:rsidRPr="00162B16" w:rsidRDefault="00DF7CFC" w:rsidP="00D2168E">
            <w:pPr>
              <w:adjustRightInd w:val="0"/>
              <w:snapToGrid w:val="0"/>
              <w:spacing w:line="276" w:lineRule="auto"/>
              <w:jc w:val="center"/>
              <w:rPr>
                <w:noProof w:val="0"/>
                <w:color w:val="auto"/>
              </w:rPr>
            </w:pPr>
            <w:r w:rsidRPr="00162B16">
              <w:rPr>
                <w:rFonts w:eastAsia="TimesNewRomanPSMT"/>
                <w:noProof w:val="0"/>
                <w:color w:val="auto"/>
              </w:rPr>
              <w:t>Unemployed + other</w:t>
            </w:r>
          </w:p>
        </w:tc>
        <w:tc>
          <w:tcPr>
            <w:tcW w:w="0" w:type="auto"/>
            <w:tcBorders>
              <w:top w:val="single" w:sz="4" w:space="0" w:color="auto"/>
            </w:tcBorders>
          </w:tcPr>
          <w:p w14:paraId="05574DFE"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Unemployed</w:t>
            </w:r>
          </w:p>
        </w:tc>
        <w:tc>
          <w:tcPr>
            <w:tcW w:w="0" w:type="auto"/>
            <w:tcBorders>
              <w:top w:val="single" w:sz="4" w:space="0" w:color="auto"/>
            </w:tcBorders>
          </w:tcPr>
          <w:p w14:paraId="0157C0F3"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Unemployed</w:t>
            </w:r>
          </w:p>
        </w:tc>
        <w:tc>
          <w:tcPr>
            <w:tcW w:w="0" w:type="auto"/>
            <w:tcBorders>
              <w:top w:val="single" w:sz="4" w:space="0" w:color="auto"/>
            </w:tcBorders>
          </w:tcPr>
          <w:p w14:paraId="1E91DC2F"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Unemployed</w:t>
            </w:r>
          </w:p>
        </w:tc>
      </w:tr>
      <w:tr w:rsidR="00162B16" w:rsidRPr="00162B16" w14:paraId="4C9D97C2" w14:textId="77777777" w:rsidTr="00DF7CFC">
        <w:trPr>
          <w:trHeight w:val="180"/>
          <w:jc w:val="center"/>
        </w:trPr>
        <w:tc>
          <w:tcPr>
            <w:tcW w:w="0" w:type="auto"/>
            <w:vMerge/>
            <w:vAlign w:val="center"/>
          </w:tcPr>
          <w:p w14:paraId="334B8235" w14:textId="77777777" w:rsidR="00DF7CFC" w:rsidRPr="00162B16" w:rsidRDefault="00DF7CFC" w:rsidP="00D2168E">
            <w:pPr>
              <w:adjustRightInd w:val="0"/>
              <w:snapToGrid w:val="0"/>
              <w:spacing w:line="276" w:lineRule="auto"/>
              <w:jc w:val="center"/>
              <w:rPr>
                <w:rFonts w:eastAsia="TimesNewRomanPSMT"/>
                <w:noProof w:val="0"/>
                <w:color w:val="auto"/>
              </w:rPr>
            </w:pPr>
          </w:p>
        </w:tc>
        <w:tc>
          <w:tcPr>
            <w:tcW w:w="0" w:type="auto"/>
          </w:tcPr>
          <w:p w14:paraId="72CF0038"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Other</w:t>
            </w:r>
          </w:p>
        </w:tc>
        <w:tc>
          <w:tcPr>
            <w:tcW w:w="0" w:type="auto"/>
          </w:tcPr>
          <w:p w14:paraId="0A4863CD"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Other</w:t>
            </w:r>
          </w:p>
        </w:tc>
        <w:tc>
          <w:tcPr>
            <w:tcW w:w="0" w:type="auto"/>
          </w:tcPr>
          <w:p w14:paraId="162961E7" w14:textId="77777777" w:rsidR="00DF7CFC" w:rsidRPr="00162B16" w:rsidRDefault="00DF7CFC" w:rsidP="00D2168E">
            <w:pPr>
              <w:adjustRightInd w:val="0"/>
              <w:snapToGrid w:val="0"/>
              <w:spacing w:line="276" w:lineRule="auto"/>
              <w:jc w:val="center"/>
              <w:rPr>
                <w:noProof w:val="0"/>
                <w:color w:val="auto"/>
              </w:rPr>
            </w:pPr>
            <w:proofErr w:type="gramStart"/>
            <w:r w:rsidRPr="00162B16">
              <w:rPr>
                <w:noProof w:val="0"/>
                <w:color w:val="auto"/>
              </w:rPr>
              <w:t>Other</w:t>
            </w:r>
            <w:proofErr w:type="gramEnd"/>
            <w:r w:rsidRPr="00162B16">
              <w:rPr>
                <w:noProof w:val="0"/>
                <w:color w:val="auto"/>
              </w:rPr>
              <w:t xml:space="preserve"> inactive person</w:t>
            </w:r>
          </w:p>
        </w:tc>
      </w:tr>
      <w:tr w:rsidR="00162B16" w:rsidRPr="00162B16" w14:paraId="475F9FD0" w14:textId="77777777" w:rsidTr="00DF7CFC">
        <w:trPr>
          <w:trHeight w:val="180"/>
          <w:jc w:val="center"/>
        </w:trPr>
        <w:tc>
          <w:tcPr>
            <w:tcW w:w="0" w:type="auto"/>
            <w:vMerge/>
            <w:vAlign w:val="center"/>
          </w:tcPr>
          <w:p w14:paraId="54D3DA32" w14:textId="77777777" w:rsidR="00DF7CFC" w:rsidRPr="00162B16" w:rsidRDefault="00DF7CFC" w:rsidP="00D2168E">
            <w:pPr>
              <w:adjustRightInd w:val="0"/>
              <w:snapToGrid w:val="0"/>
              <w:spacing w:line="276" w:lineRule="auto"/>
              <w:jc w:val="center"/>
              <w:rPr>
                <w:rFonts w:eastAsia="TimesNewRomanPSMT"/>
                <w:noProof w:val="0"/>
                <w:color w:val="auto"/>
              </w:rPr>
            </w:pPr>
          </w:p>
        </w:tc>
        <w:tc>
          <w:tcPr>
            <w:tcW w:w="0" w:type="auto"/>
          </w:tcPr>
          <w:p w14:paraId="5E669F82"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Boarded out</w:t>
            </w:r>
          </w:p>
        </w:tc>
        <w:tc>
          <w:tcPr>
            <w:tcW w:w="0" w:type="auto"/>
          </w:tcPr>
          <w:p w14:paraId="220214EC"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Permanent disability</w:t>
            </w:r>
          </w:p>
        </w:tc>
        <w:tc>
          <w:tcPr>
            <w:tcW w:w="0" w:type="auto"/>
          </w:tcPr>
          <w:p w14:paraId="44E95B48"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Permanent disability</w:t>
            </w:r>
          </w:p>
        </w:tc>
      </w:tr>
      <w:tr w:rsidR="00162B16" w:rsidRPr="00162B16" w14:paraId="3A770708" w14:textId="77777777" w:rsidTr="00DF7CFC">
        <w:trPr>
          <w:jc w:val="center"/>
        </w:trPr>
        <w:tc>
          <w:tcPr>
            <w:tcW w:w="0" w:type="auto"/>
            <w:vAlign w:val="center"/>
          </w:tcPr>
          <w:p w14:paraId="3A82D36B" w14:textId="77777777" w:rsidR="00DF7CFC" w:rsidRPr="00162B16" w:rsidRDefault="00DF7CFC" w:rsidP="00D2168E">
            <w:pPr>
              <w:adjustRightInd w:val="0"/>
              <w:snapToGrid w:val="0"/>
              <w:spacing w:line="276" w:lineRule="auto"/>
              <w:jc w:val="center"/>
              <w:rPr>
                <w:noProof w:val="0"/>
                <w:color w:val="auto"/>
              </w:rPr>
            </w:pPr>
            <w:r w:rsidRPr="00162B16">
              <w:rPr>
                <w:rFonts w:eastAsia="TimesNewRomanPSMT"/>
                <w:noProof w:val="0"/>
                <w:color w:val="auto"/>
              </w:rPr>
              <w:t>Retired</w:t>
            </w:r>
          </w:p>
        </w:tc>
        <w:tc>
          <w:tcPr>
            <w:tcW w:w="0" w:type="auto"/>
          </w:tcPr>
          <w:p w14:paraId="47F57614"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Pensioner</w:t>
            </w:r>
          </w:p>
        </w:tc>
        <w:tc>
          <w:tcPr>
            <w:tcW w:w="0" w:type="auto"/>
          </w:tcPr>
          <w:p w14:paraId="2EBFBEAC"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Retirement / given up business</w:t>
            </w:r>
          </w:p>
        </w:tc>
        <w:tc>
          <w:tcPr>
            <w:tcW w:w="0" w:type="auto"/>
          </w:tcPr>
          <w:p w14:paraId="0D02AB6C"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In retirement</w:t>
            </w:r>
          </w:p>
        </w:tc>
      </w:tr>
      <w:tr w:rsidR="00162B16" w:rsidRPr="00162B16" w14:paraId="56DAC0DA" w14:textId="77777777" w:rsidTr="00DF7CFC">
        <w:trPr>
          <w:jc w:val="center"/>
        </w:trPr>
        <w:tc>
          <w:tcPr>
            <w:tcW w:w="0" w:type="auto"/>
            <w:vAlign w:val="center"/>
          </w:tcPr>
          <w:p w14:paraId="03558B9C"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Employed</w:t>
            </w:r>
          </w:p>
        </w:tc>
        <w:tc>
          <w:tcPr>
            <w:tcW w:w="0" w:type="auto"/>
          </w:tcPr>
          <w:p w14:paraId="03D9A103"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Gainfully employed</w:t>
            </w:r>
          </w:p>
        </w:tc>
        <w:tc>
          <w:tcPr>
            <w:tcW w:w="0" w:type="auto"/>
          </w:tcPr>
          <w:p w14:paraId="4F02B28D"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Working for pay or profit</w:t>
            </w:r>
          </w:p>
        </w:tc>
        <w:tc>
          <w:tcPr>
            <w:tcW w:w="0" w:type="auto"/>
          </w:tcPr>
          <w:p w14:paraId="3588A97C"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Working for pay or profit</w:t>
            </w:r>
          </w:p>
        </w:tc>
      </w:tr>
      <w:tr w:rsidR="00162B16" w:rsidRPr="00162B16" w14:paraId="4B606FEC" w14:textId="77777777" w:rsidTr="00DF7CFC">
        <w:trPr>
          <w:jc w:val="center"/>
        </w:trPr>
        <w:tc>
          <w:tcPr>
            <w:tcW w:w="0" w:type="auto"/>
            <w:tcBorders>
              <w:bottom w:val="single" w:sz="4" w:space="0" w:color="auto"/>
            </w:tcBorders>
            <w:vAlign w:val="center"/>
          </w:tcPr>
          <w:p w14:paraId="21255DFD"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Domestic</w:t>
            </w:r>
          </w:p>
        </w:tc>
        <w:tc>
          <w:tcPr>
            <w:tcW w:w="0" w:type="auto"/>
            <w:tcBorders>
              <w:bottom w:val="single" w:sz="4" w:space="0" w:color="auto"/>
            </w:tcBorders>
          </w:tcPr>
          <w:p w14:paraId="319370E1"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Homemaker</w:t>
            </w:r>
          </w:p>
        </w:tc>
        <w:tc>
          <w:tcPr>
            <w:tcW w:w="0" w:type="auto"/>
            <w:tcBorders>
              <w:bottom w:val="single" w:sz="4" w:space="0" w:color="auto"/>
            </w:tcBorders>
          </w:tcPr>
          <w:p w14:paraId="005E2389"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Domestic work</w:t>
            </w:r>
          </w:p>
        </w:tc>
        <w:tc>
          <w:tcPr>
            <w:tcW w:w="0" w:type="auto"/>
            <w:tcBorders>
              <w:bottom w:val="single" w:sz="4" w:space="0" w:color="auto"/>
            </w:tcBorders>
          </w:tcPr>
          <w:p w14:paraId="3685F04C" w14:textId="77777777" w:rsidR="00DF7CFC" w:rsidRPr="00162B16" w:rsidRDefault="00DF7CFC" w:rsidP="00D2168E">
            <w:pPr>
              <w:adjustRightInd w:val="0"/>
              <w:snapToGrid w:val="0"/>
              <w:spacing w:line="276" w:lineRule="auto"/>
              <w:jc w:val="center"/>
              <w:rPr>
                <w:noProof w:val="0"/>
                <w:color w:val="auto"/>
              </w:rPr>
            </w:pPr>
            <w:r w:rsidRPr="00162B16">
              <w:rPr>
                <w:noProof w:val="0"/>
                <w:color w:val="auto"/>
              </w:rPr>
              <w:t>Fulfilling domestic tasks</w:t>
            </w:r>
          </w:p>
        </w:tc>
      </w:tr>
      <w:tr w:rsidR="00DF7CFC" w:rsidRPr="00162B16" w14:paraId="5660F0BA" w14:textId="77777777" w:rsidTr="00DF7CFC">
        <w:trPr>
          <w:jc w:val="center"/>
        </w:trPr>
        <w:tc>
          <w:tcPr>
            <w:tcW w:w="0" w:type="auto"/>
            <w:gridSpan w:val="4"/>
            <w:tcBorders>
              <w:top w:val="single" w:sz="4" w:space="0" w:color="auto"/>
            </w:tcBorders>
          </w:tcPr>
          <w:p w14:paraId="4DB29091" w14:textId="77777777" w:rsidR="00DF7CFC" w:rsidRPr="00162B16" w:rsidRDefault="00DF7CFC" w:rsidP="00D2168E">
            <w:pPr>
              <w:adjustRightInd w:val="0"/>
              <w:snapToGrid w:val="0"/>
              <w:rPr>
                <w:noProof w:val="0"/>
                <w:color w:val="auto"/>
              </w:rPr>
            </w:pPr>
          </w:p>
        </w:tc>
      </w:tr>
    </w:tbl>
    <w:p w14:paraId="2324AD9E" w14:textId="77777777" w:rsidR="00DF7CFC" w:rsidRPr="00162B16" w:rsidRDefault="00DF7CFC" w:rsidP="00D2168E">
      <w:pPr>
        <w:pStyle w:val="MDPI31text"/>
        <w:rPr>
          <w:color w:val="auto"/>
        </w:rPr>
      </w:pPr>
    </w:p>
    <w:p w14:paraId="7498761B" w14:textId="77777777" w:rsidR="000147B9" w:rsidRPr="00162B16" w:rsidRDefault="000147B9" w:rsidP="00D2168E">
      <w:pPr>
        <w:pStyle w:val="MDPI31text"/>
        <w:rPr>
          <w:color w:val="auto"/>
        </w:rPr>
      </w:pPr>
    </w:p>
    <w:p w14:paraId="2C5B34B1" w14:textId="77777777" w:rsidR="00937EA2" w:rsidRPr="00162B16" w:rsidRDefault="00937EA2" w:rsidP="00227DA1">
      <w:pPr>
        <w:pStyle w:val="MDPI21heading1"/>
        <w:ind w:left="0"/>
        <w:rPr>
          <w:color w:val="auto"/>
        </w:rPr>
      </w:pPr>
      <w:r w:rsidRPr="00162B16">
        <w:rPr>
          <w:color w:val="auto"/>
        </w:rPr>
        <w:t>References</w:t>
      </w:r>
    </w:p>
    <w:bookmarkEnd w:id="1"/>
    <w:p w14:paraId="595BFE34" w14:textId="29216C5B" w:rsidR="003610B8" w:rsidRPr="00162B16" w:rsidRDefault="00C77C01" w:rsidP="003610B8">
      <w:pPr>
        <w:widowControl w:val="0"/>
        <w:autoSpaceDE w:val="0"/>
        <w:autoSpaceDN w:val="0"/>
        <w:adjustRightInd w:val="0"/>
        <w:spacing w:line="240" w:lineRule="atLeast"/>
        <w:ind w:left="640" w:hanging="640"/>
        <w:rPr>
          <w:color w:val="auto"/>
          <w:sz w:val="18"/>
          <w:szCs w:val="24"/>
        </w:rPr>
      </w:pPr>
      <w:r w:rsidRPr="00162B16">
        <w:rPr>
          <w:color w:val="auto"/>
        </w:rPr>
        <w:fldChar w:fldCharType="begin" w:fldLock="1"/>
      </w:r>
      <w:r w:rsidRPr="00162B16">
        <w:rPr>
          <w:color w:val="auto"/>
        </w:rPr>
        <w:instrText xml:space="preserve">ADDIN Mendeley Bibliography CSL_BIBLIOGRAPHY </w:instrText>
      </w:r>
      <w:r w:rsidRPr="00162B16">
        <w:rPr>
          <w:color w:val="auto"/>
        </w:rPr>
        <w:fldChar w:fldCharType="separate"/>
      </w:r>
      <w:r w:rsidR="003610B8" w:rsidRPr="00162B16">
        <w:rPr>
          <w:b/>
          <w:bCs/>
          <w:color w:val="auto"/>
          <w:sz w:val="18"/>
          <w:szCs w:val="24"/>
        </w:rPr>
        <w:t>1</w:t>
      </w:r>
      <w:r w:rsidR="003610B8" w:rsidRPr="00162B16">
        <w:rPr>
          <w:color w:val="auto"/>
          <w:sz w:val="18"/>
          <w:szCs w:val="24"/>
        </w:rPr>
        <w:t>.</w:t>
      </w:r>
      <w:r w:rsidR="003610B8" w:rsidRPr="00162B16">
        <w:rPr>
          <w:color w:val="auto"/>
          <w:sz w:val="18"/>
          <w:szCs w:val="24"/>
        </w:rPr>
        <w:tab/>
        <w:t>UK Chief Medical Officers. UK Chief Medical Officers ’ Physical Activity Guidelines. 2019.</w:t>
      </w:r>
    </w:p>
    <w:p w14:paraId="3934015C"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2</w:t>
      </w:r>
      <w:r w:rsidRPr="00162B16">
        <w:rPr>
          <w:color w:val="auto"/>
          <w:sz w:val="18"/>
          <w:szCs w:val="24"/>
        </w:rPr>
        <w:t>.</w:t>
      </w:r>
      <w:r w:rsidRPr="00162B16">
        <w:rPr>
          <w:color w:val="auto"/>
          <w:sz w:val="18"/>
          <w:szCs w:val="24"/>
        </w:rPr>
        <w:tab/>
        <w:t>Vogel T, Brechat PH, Leprêtre PM, Kaltenbach G, Berthel M, Lonsdorfer J. Health benefits of physical activity in older patients: A review. Int J Clin Pract 2009; 63: 303–320.</w:t>
      </w:r>
    </w:p>
    <w:p w14:paraId="1B24F28D"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3</w:t>
      </w:r>
      <w:r w:rsidRPr="00162B16">
        <w:rPr>
          <w:color w:val="auto"/>
          <w:sz w:val="18"/>
          <w:szCs w:val="24"/>
        </w:rPr>
        <w:t>.</w:t>
      </w:r>
      <w:r w:rsidRPr="00162B16">
        <w:rPr>
          <w:color w:val="auto"/>
          <w:sz w:val="18"/>
          <w:szCs w:val="24"/>
        </w:rPr>
        <w:tab/>
        <w:t xml:space="preserve">Kohl HW, Craig CL, Lambert EV </w:t>
      </w:r>
      <w:r w:rsidRPr="00162B16">
        <w:rPr>
          <w:i/>
          <w:iCs/>
          <w:color w:val="auto"/>
          <w:sz w:val="18"/>
          <w:szCs w:val="24"/>
        </w:rPr>
        <w:t>et al.</w:t>
      </w:r>
      <w:r w:rsidRPr="00162B16">
        <w:rPr>
          <w:color w:val="auto"/>
          <w:sz w:val="18"/>
          <w:szCs w:val="24"/>
        </w:rPr>
        <w:t xml:space="preserve"> The pandemic of physical inactivity: Global action for public health. Lancet 2012; 380: 294–305.</w:t>
      </w:r>
    </w:p>
    <w:p w14:paraId="7379D3AD"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4</w:t>
      </w:r>
      <w:r w:rsidRPr="00162B16">
        <w:rPr>
          <w:color w:val="auto"/>
          <w:sz w:val="18"/>
          <w:szCs w:val="24"/>
        </w:rPr>
        <w:t>.</w:t>
      </w:r>
      <w:r w:rsidRPr="00162B16">
        <w:rPr>
          <w:color w:val="auto"/>
          <w:sz w:val="18"/>
          <w:szCs w:val="24"/>
        </w:rPr>
        <w:tab/>
        <w:t>Reiner M, Niermann C, Jekauc D, Woll A. Long-term health benefits of physical activity - A systematic review of longitudinal studies. BMC Public Health 2013; 13: 1–9.</w:t>
      </w:r>
    </w:p>
    <w:p w14:paraId="23BA867D"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5</w:t>
      </w:r>
      <w:r w:rsidRPr="00162B16">
        <w:rPr>
          <w:color w:val="auto"/>
          <w:sz w:val="18"/>
          <w:szCs w:val="24"/>
        </w:rPr>
        <w:t>.</w:t>
      </w:r>
      <w:r w:rsidRPr="00162B16">
        <w:rPr>
          <w:color w:val="auto"/>
          <w:sz w:val="18"/>
          <w:szCs w:val="24"/>
        </w:rPr>
        <w:tab/>
        <w:t>Richards EA, Thomas PA, Forster AK, Hass Z. A Longitudinal Examination of the Impact of Major Life Events on Physical Activity. Heal Educ Behav 2019; 46: 398–405.</w:t>
      </w:r>
    </w:p>
    <w:p w14:paraId="45C63FF4"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6</w:t>
      </w:r>
      <w:r w:rsidRPr="00162B16">
        <w:rPr>
          <w:color w:val="auto"/>
          <w:sz w:val="18"/>
          <w:szCs w:val="24"/>
        </w:rPr>
        <w:t>.</w:t>
      </w:r>
      <w:r w:rsidRPr="00162B16">
        <w:rPr>
          <w:color w:val="auto"/>
          <w:sz w:val="18"/>
          <w:szCs w:val="24"/>
        </w:rPr>
        <w:tab/>
        <w:t xml:space="preserve">Koeneman MA, Chinapaw MJM, Verheijden MW </w:t>
      </w:r>
      <w:r w:rsidRPr="00162B16">
        <w:rPr>
          <w:i/>
          <w:iCs/>
          <w:color w:val="auto"/>
          <w:sz w:val="18"/>
          <w:szCs w:val="24"/>
        </w:rPr>
        <w:t>et al.</w:t>
      </w:r>
      <w:r w:rsidRPr="00162B16">
        <w:rPr>
          <w:color w:val="auto"/>
          <w:sz w:val="18"/>
          <w:szCs w:val="24"/>
        </w:rPr>
        <w:t xml:space="preserve"> Do major life events influence physical activity among older adults: the Longitudinal Aging Study Amsterdam. Int J Behav Nutr Phys Act 2012; 9: 147.</w:t>
      </w:r>
    </w:p>
    <w:p w14:paraId="6190459C"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7</w:t>
      </w:r>
      <w:r w:rsidRPr="00162B16">
        <w:rPr>
          <w:color w:val="auto"/>
          <w:sz w:val="18"/>
          <w:szCs w:val="24"/>
        </w:rPr>
        <w:t>.</w:t>
      </w:r>
      <w:r w:rsidRPr="00162B16">
        <w:rPr>
          <w:color w:val="auto"/>
          <w:sz w:val="18"/>
          <w:szCs w:val="24"/>
        </w:rPr>
        <w:tab/>
        <w:t>Ekerdt DJ. Frontiers of research on work and retirement. J Gerontol B Psychol Sci Soc Sci 2010; 65B: 69–80.</w:t>
      </w:r>
    </w:p>
    <w:p w14:paraId="76CB66EE"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8</w:t>
      </w:r>
      <w:r w:rsidRPr="00162B16">
        <w:rPr>
          <w:color w:val="auto"/>
          <w:sz w:val="18"/>
          <w:szCs w:val="24"/>
        </w:rPr>
        <w:t>.</w:t>
      </w:r>
      <w:r w:rsidRPr="00162B16">
        <w:rPr>
          <w:color w:val="auto"/>
          <w:sz w:val="18"/>
          <w:szCs w:val="24"/>
        </w:rPr>
        <w:tab/>
        <w:t>Barnett I, van Sluijs E, Ogilvie D, Wareham NJ. Changes in household, transport and recreational physical activity and television viewing time across the transition to retirement: longitudinal evidence from the EPIC-Norfolk cohort. J Epidemiol Community Heal 2014; 68: 747.</w:t>
      </w:r>
    </w:p>
    <w:p w14:paraId="7438C2ED"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9</w:t>
      </w:r>
      <w:r w:rsidRPr="00162B16">
        <w:rPr>
          <w:color w:val="auto"/>
          <w:sz w:val="18"/>
          <w:szCs w:val="24"/>
        </w:rPr>
        <w:t>.</w:t>
      </w:r>
      <w:r w:rsidRPr="00162B16">
        <w:rPr>
          <w:color w:val="auto"/>
          <w:sz w:val="18"/>
          <w:szCs w:val="24"/>
        </w:rPr>
        <w:tab/>
        <w:t xml:space="preserve">Baxter S, Blank L, Johnson M </w:t>
      </w:r>
      <w:r w:rsidRPr="00162B16">
        <w:rPr>
          <w:i/>
          <w:iCs/>
          <w:color w:val="auto"/>
          <w:sz w:val="18"/>
          <w:szCs w:val="24"/>
        </w:rPr>
        <w:t>et al.</w:t>
      </w:r>
      <w:r w:rsidRPr="00162B16">
        <w:rPr>
          <w:color w:val="auto"/>
          <w:sz w:val="18"/>
          <w:szCs w:val="24"/>
        </w:rPr>
        <w:t xml:space="preserve"> Interventions to promote or maintain physical activity during and after the transition to retirement: an evidence synthesis. Public Heal Res 2016; 4: 1–138.</w:t>
      </w:r>
    </w:p>
    <w:p w14:paraId="409AF1B6"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10</w:t>
      </w:r>
      <w:r w:rsidRPr="00162B16">
        <w:rPr>
          <w:color w:val="auto"/>
          <w:sz w:val="18"/>
          <w:szCs w:val="24"/>
        </w:rPr>
        <w:t>.</w:t>
      </w:r>
      <w:r w:rsidRPr="00162B16">
        <w:rPr>
          <w:color w:val="auto"/>
          <w:sz w:val="18"/>
          <w:szCs w:val="24"/>
        </w:rPr>
        <w:tab/>
        <w:t>Barnett I, van Sluijs EMF, Ogilvie D. Physical activity and transitioning to retirement: A systematic review. Am J Prev Med 2012; 43: 329–336.</w:t>
      </w:r>
    </w:p>
    <w:p w14:paraId="1337B773"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11</w:t>
      </w:r>
      <w:r w:rsidRPr="00162B16">
        <w:rPr>
          <w:color w:val="auto"/>
          <w:sz w:val="18"/>
          <w:szCs w:val="24"/>
        </w:rPr>
        <w:t>.</w:t>
      </w:r>
      <w:r w:rsidRPr="00162B16">
        <w:rPr>
          <w:color w:val="auto"/>
          <w:sz w:val="18"/>
          <w:szCs w:val="24"/>
        </w:rPr>
        <w:tab/>
        <w:t>Gropper H, John JM, Sudeck G, Thiel A. The impact of life events and transitions on physical activity: A scoping review. PLoS One 2020; 15: 1–24.</w:t>
      </w:r>
    </w:p>
    <w:p w14:paraId="5B857292"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12</w:t>
      </w:r>
      <w:r w:rsidRPr="00162B16">
        <w:rPr>
          <w:color w:val="auto"/>
          <w:sz w:val="18"/>
          <w:szCs w:val="24"/>
        </w:rPr>
        <w:t>.</w:t>
      </w:r>
      <w:r w:rsidRPr="00162B16">
        <w:rPr>
          <w:color w:val="auto"/>
          <w:sz w:val="18"/>
          <w:szCs w:val="24"/>
        </w:rPr>
        <w:tab/>
        <w:t>Jones SA, Li Q, Aiello AE, O’Rand AM, Evenson KR. Physical Activity, Sedentary Behavior, and Retirement: The Multi-Ethnic Study of Atherosclerosis. Am J Prev Med 2018; 54: 786–794.</w:t>
      </w:r>
    </w:p>
    <w:p w14:paraId="298922EF"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13</w:t>
      </w:r>
      <w:r w:rsidRPr="00162B16">
        <w:rPr>
          <w:color w:val="auto"/>
          <w:sz w:val="18"/>
          <w:szCs w:val="24"/>
        </w:rPr>
        <w:t>.</w:t>
      </w:r>
      <w:r w:rsidRPr="00162B16">
        <w:rPr>
          <w:color w:val="auto"/>
          <w:sz w:val="18"/>
          <w:szCs w:val="24"/>
        </w:rPr>
        <w:tab/>
        <w:t>Spiteri K, Broom D, Bekhet AH, De Caro JX, Laventure B, Grafton K. Barriers and motivators of physical activity participation in middle-aged and older adults—a systematic review. J Aging Phys Act 2019; 27: 929–944.</w:t>
      </w:r>
    </w:p>
    <w:p w14:paraId="0D0DE0C7"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14</w:t>
      </w:r>
      <w:r w:rsidRPr="00162B16">
        <w:rPr>
          <w:color w:val="auto"/>
          <w:sz w:val="18"/>
          <w:szCs w:val="24"/>
        </w:rPr>
        <w:t>.</w:t>
      </w:r>
      <w:r w:rsidRPr="00162B16">
        <w:rPr>
          <w:color w:val="auto"/>
          <w:sz w:val="18"/>
          <w:szCs w:val="24"/>
        </w:rPr>
        <w:tab/>
        <w:t>WHO. Malta physical activity fact sheet 2018. World Health Organisation 2018 1–4 http://www.euro.who.int/__data/assets/pdf_file/0008/382571/malta-eng.pdf?ua=1 (7 November 2019, date last accessed).</w:t>
      </w:r>
    </w:p>
    <w:p w14:paraId="6874DD60"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15</w:t>
      </w:r>
      <w:r w:rsidRPr="00162B16">
        <w:rPr>
          <w:color w:val="auto"/>
          <w:sz w:val="18"/>
          <w:szCs w:val="24"/>
        </w:rPr>
        <w:t>.</w:t>
      </w:r>
      <w:r w:rsidRPr="00162B16">
        <w:rPr>
          <w:color w:val="auto"/>
          <w:sz w:val="18"/>
          <w:szCs w:val="24"/>
        </w:rPr>
        <w:tab/>
        <w:t>Hamer M, Kivimaki M, Steptoe A. Longitudinal patterns in physical activity and sedentary behaviour from mid-life to early old age: a substudy of the Whitehall II cohort. J Epidemiol Community Heal 2012; 66: 1110–1115.</w:t>
      </w:r>
    </w:p>
    <w:p w14:paraId="665D96B9"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16</w:t>
      </w:r>
      <w:r w:rsidRPr="00162B16">
        <w:rPr>
          <w:color w:val="auto"/>
          <w:sz w:val="18"/>
          <w:szCs w:val="24"/>
        </w:rPr>
        <w:t>.</w:t>
      </w:r>
      <w:r w:rsidRPr="00162B16">
        <w:rPr>
          <w:color w:val="auto"/>
          <w:sz w:val="18"/>
          <w:szCs w:val="24"/>
        </w:rPr>
        <w:tab/>
        <w:t>Behncke S. Does retirement trigger ill health? Health Econ 2012; 21: 282–300.</w:t>
      </w:r>
    </w:p>
    <w:p w14:paraId="2F6C11CC"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17</w:t>
      </w:r>
      <w:r w:rsidRPr="00162B16">
        <w:rPr>
          <w:color w:val="auto"/>
          <w:sz w:val="18"/>
          <w:szCs w:val="24"/>
        </w:rPr>
        <w:t>.</w:t>
      </w:r>
      <w:r w:rsidRPr="00162B16">
        <w:rPr>
          <w:color w:val="auto"/>
          <w:sz w:val="18"/>
          <w:szCs w:val="24"/>
        </w:rPr>
        <w:tab/>
        <w:t>Chaudhury M, Shelton N. Physical activity among 60-69-year-olds in England: knowledge, perception, behaviour and risk factors. Ageing Soc 2010; 30: 1343–1355.</w:t>
      </w:r>
    </w:p>
    <w:p w14:paraId="5FF389BD"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18</w:t>
      </w:r>
      <w:r w:rsidRPr="00162B16">
        <w:rPr>
          <w:color w:val="auto"/>
          <w:sz w:val="18"/>
          <w:szCs w:val="24"/>
        </w:rPr>
        <w:t>.</w:t>
      </w:r>
      <w:r w:rsidRPr="00162B16">
        <w:rPr>
          <w:color w:val="auto"/>
          <w:sz w:val="18"/>
          <w:szCs w:val="24"/>
        </w:rPr>
        <w:tab/>
        <w:t>Hamer M, Lavoie KL, Bacon SL. Taking up physical activity in later life and healthy ageing: the English longitudinal study of ageing. Br J Sports Med 2014; 48: 239–243.</w:t>
      </w:r>
    </w:p>
    <w:p w14:paraId="1CF7EE34"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19</w:t>
      </w:r>
      <w:r w:rsidRPr="00162B16">
        <w:rPr>
          <w:color w:val="auto"/>
          <w:sz w:val="18"/>
          <w:szCs w:val="24"/>
        </w:rPr>
        <w:t>.</w:t>
      </w:r>
      <w:r w:rsidRPr="00162B16">
        <w:rPr>
          <w:color w:val="auto"/>
          <w:sz w:val="18"/>
          <w:szCs w:val="24"/>
        </w:rPr>
        <w:tab/>
        <w:t>Jokela M, Head J, Vahtera J, Westerlund H, Marmot MG. From midlife to early old age: Health trajectories associated with retirement. Epidemiology 2011; 21: 284–290.</w:t>
      </w:r>
    </w:p>
    <w:p w14:paraId="6E7A12DC"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20</w:t>
      </w:r>
      <w:r w:rsidRPr="00162B16">
        <w:rPr>
          <w:color w:val="auto"/>
          <w:sz w:val="18"/>
          <w:szCs w:val="24"/>
        </w:rPr>
        <w:t>.</w:t>
      </w:r>
      <w:r w:rsidRPr="00162B16">
        <w:rPr>
          <w:color w:val="auto"/>
          <w:sz w:val="18"/>
          <w:szCs w:val="24"/>
        </w:rPr>
        <w:tab/>
        <w:t>Bennett MM, Beehr TA, Lepisto LR. A Longitudinal Study of Work After Retirement: Examining Predictors of Bridge Employment, Continued Career Employment, and Retirement. Int J Aging Hum Dev 2016; 83: 228–255.</w:t>
      </w:r>
    </w:p>
    <w:p w14:paraId="5C32772F"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lastRenderedPageBreak/>
        <w:t>21</w:t>
      </w:r>
      <w:r w:rsidRPr="00162B16">
        <w:rPr>
          <w:color w:val="auto"/>
          <w:sz w:val="18"/>
          <w:szCs w:val="24"/>
        </w:rPr>
        <w:t>.</w:t>
      </w:r>
      <w:r w:rsidRPr="00162B16">
        <w:rPr>
          <w:color w:val="auto"/>
          <w:sz w:val="18"/>
          <w:szCs w:val="24"/>
        </w:rPr>
        <w:tab/>
        <w:t xml:space="preserve">Bauman AE, Reis RS, Sallis JF </w:t>
      </w:r>
      <w:r w:rsidRPr="00162B16">
        <w:rPr>
          <w:i/>
          <w:iCs/>
          <w:color w:val="auto"/>
          <w:sz w:val="18"/>
          <w:szCs w:val="24"/>
        </w:rPr>
        <w:t>et al.</w:t>
      </w:r>
      <w:r w:rsidRPr="00162B16">
        <w:rPr>
          <w:color w:val="auto"/>
          <w:sz w:val="18"/>
          <w:szCs w:val="24"/>
        </w:rPr>
        <w:t xml:space="preserve"> Correlates of physical activity: why are some people physically active and others not?. Lancet (London, England) 2012; 380: 258–271.</w:t>
      </w:r>
    </w:p>
    <w:p w14:paraId="17132A42"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22</w:t>
      </w:r>
      <w:r w:rsidRPr="00162B16">
        <w:rPr>
          <w:color w:val="auto"/>
          <w:sz w:val="18"/>
          <w:szCs w:val="24"/>
        </w:rPr>
        <w:t>.</w:t>
      </w:r>
      <w:r w:rsidRPr="00162B16">
        <w:rPr>
          <w:color w:val="auto"/>
          <w:sz w:val="18"/>
          <w:szCs w:val="24"/>
        </w:rPr>
        <w:tab/>
        <w:t>Denton FT, Spencer BG, Denton FT, Spencer BG. What Is Retirement</w:t>
      </w:r>
      <w:r w:rsidRPr="00162B16">
        <w:rPr>
          <w:rFonts w:ascii="Times New Roman" w:hAnsi="Times New Roman"/>
          <w:color w:val="auto"/>
          <w:sz w:val="18"/>
          <w:szCs w:val="24"/>
        </w:rPr>
        <w:t> </w:t>
      </w:r>
      <w:r w:rsidRPr="00162B16">
        <w:rPr>
          <w:color w:val="auto"/>
          <w:sz w:val="18"/>
          <w:szCs w:val="24"/>
        </w:rPr>
        <w:t>? A Review and Assessment of Alternative Concepts and Measures What Is Retirement</w:t>
      </w:r>
      <w:r w:rsidRPr="00162B16">
        <w:rPr>
          <w:rFonts w:ascii="Times New Roman" w:hAnsi="Times New Roman"/>
          <w:color w:val="auto"/>
          <w:sz w:val="18"/>
          <w:szCs w:val="24"/>
        </w:rPr>
        <w:t> </w:t>
      </w:r>
      <w:r w:rsidRPr="00162B16">
        <w:rPr>
          <w:color w:val="auto"/>
          <w:sz w:val="18"/>
          <w:szCs w:val="24"/>
        </w:rPr>
        <w:t>? A Review and Assessment of Alternative Concepts and Measures *. Can J Aging 2009; 28: 63–76.</w:t>
      </w:r>
    </w:p>
    <w:p w14:paraId="5548D3D5"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23</w:t>
      </w:r>
      <w:r w:rsidRPr="00162B16">
        <w:rPr>
          <w:color w:val="auto"/>
          <w:sz w:val="18"/>
          <w:szCs w:val="24"/>
        </w:rPr>
        <w:t>.</w:t>
      </w:r>
      <w:r w:rsidRPr="00162B16">
        <w:rPr>
          <w:color w:val="auto"/>
          <w:sz w:val="18"/>
          <w:szCs w:val="24"/>
        </w:rPr>
        <w:tab/>
        <w:t>IPAQ group. IPAQ. 2019 https://sites.google.com/site/theipaq/questionnaire_links.</w:t>
      </w:r>
    </w:p>
    <w:p w14:paraId="65F37283"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24</w:t>
      </w:r>
      <w:r w:rsidRPr="00162B16">
        <w:rPr>
          <w:color w:val="auto"/>
          <w:sz w:val="18"/>
          <w:szCs w:val="24"/>
        </w:rPr>
        <w:t>.</w:t>
      </w:r>
      <w:r w:rsidRPr="00162B16">
        <w:rPr>
          <w:color w:val="auto"/>
          <w:sz w:val="18"/>
          <w:szCs w:val="24"/>
        </w:rPr>
        <w:tab/>
        <w:t>Spiteri K, Grafton K, Xerri de Caro J, Broom D. Translation of the International Physical Activity Questionnaire to Maltese and Reliability Testing. J Meas Phys Behav 2021; 1–8.</w:t>
      </w:r>
    </w:p>
    <w:p w14:paraId="477CE727"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25</w:t>
      </w:r>
      <w:r w:rsidRPr="00162B16">
        <w:rPr>
          <w:color w:val="auto"/>
          <w:sz w:val="18"/>
          <w:szCs w:val="24"/>
        </w:rPr>
        <w:t>.</w:t>
      </w:r>
      <w:r w:rsidRPr="00162B16">
        <w:rPr>
          <w:color w:val="auto"/>
          <w:sz w:val="18"/>
          <w:szCs w:val="24"/>
        </w:rPr>
        <w:tab/>
        <w:t>Kusano K, KemmelmeierM. Multi-level modelling of time-series cross-sectional data reveals the dynamic interaction between ecological threats and democratic development. R Soc open sci 2020; 7: 25.</w:t>
      </w:r>
    </w:p>
    <w:p w14:paraId="1DBC9BA9"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26</w:t>
      </w:r>
      <w:r w:rsidRPr="00162B16">
        <w:rPr>
          <w:color w:val="auto"/>
          <w:sz w:val="18"/>
          <w:szCs w:val="24"/>
        </w:rPr>
        <w:t>.</w:t>
      </w:r>
      <w:r w:rsidRPr="00162B16">
        <w:rPr>
          <w:color w:val="auto"/>
          <w:sz w:val="18"/>
          <w:szCs w:val="24"/>
        </w:rPr>
        <w:tab/>
        <w:t>DiPrete T, Grusky DB. The Multilevel Analysis of Trends with Repeated Cross-Sectional Data. Sociol Methodol 1990; 32.</w:t>
      </w:r>
    </w:p>
    <w:p w14:paraId="67AC69B9"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27</w:t>
      </w:r>
      <w:r w:rsidRPr="00162B16">
        <w:rPr>
          <w:color w:val="auto"/>
          <w:sz w:val="18"/>
          <w:szCs w:val="24"/>
        </w:rPr>
        <w:t>.</w:t>
      </w:r>
      <w:r w:rsidRPr="00162B16">
        <w:rPr>
          <w:color w:val="auto"/>
          <w:sz w:val="18"/>
          <w:szCs w:val="24"/>
        </w:rPr>
        <w:tab/>
        <w:t>Xanthakis V, Sullivan LM, Vasan RS. Multilevel modeling versus cross-sectional analysis for assessing the longitudinal tracking of cardiovascular risk factors over time. Stat Med 2014; 32: 10.</w:t>
      </w:r>
    </w:p>
    <w:p w14:paraId="5C60DB69"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28</w:t>
      </w:r>
      <w:r w:rsidRPr="00162B16">
        <w:rPr>
          <w:color w:val="auto"/>
          <w:sz w:val="18"/>
          <w:szCs w:val="24"/>
        </w:rPr>
        <w:t>.</w:t>
      </w:r>
      <w:r w:rsidRPr="00162B16">
        <w:rPr>
          <w:color w:val="auto"/>
          <w:sz w:val="18"/>
          <w:szCs w:val="24"/>
        </w:rPr>
        <w:tab/>
        <w:t>Government of Malta. health.gov.mt. 2021 https://deputyprimeminister.gov.mt/en/dhir/Pages/surveys.aspx (26 August 2021, date last accessed).</w:t>
      </w:r>
    </w:p>
    <w:p w14:paraId="0ACE38FE"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29</w:t>
      </w:r>
      <w:r w:rsidRPr="00162B16">
        <w:rPr>
          <w:color w:val="auto"/>
          <w:sz w:val="18"/>
          <w:szCs w:val="24"/>
        </w:rPr>
        <w:t>.</w:t>
      </w:r>
      <w:r w:rsidRPr="00162B16">
        <w:rPr>
          <w:color w:val="auto"/>
          <w:sz w:val="18"/>
          <w:szCs w:val="24"/>
        </w:rPr>
        <w:tab/>
        <w:t>Heck RH, Thomas SL, TabataL.N. Multilevel and Longitudinal Modeling with IBM SPSS. 2nd ed. London: Routledge, 2014.</w:t>
      </w:r>
    </w:p>
    <w:p w14:paraId="246D26B1"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30</w:t>
      </w:r>
      <w:r w:rsidRPr="00162B16">
        <w:rPr>
          <w:color w:val="auto"/>
          <w:sz w:val="18"/>
          <w:szCs w:val="24"/>
        </w:rPr>
        <w:t>.</w:t>
      </w:r>
      <w:r w:rsidRPr="00162B16">
        <w:rPr>
          <w:color w:val="auto"/>
          <w:sz w:val="18"/>
          <w:szCs w:val="24"/>
        </w:rPr>
        <w:tab/>
        <w:t xml:space="preserve">Feng C, Wang H, Lu N </w:t>
      </w:r>
      <w:r w:rsidRPr="00162B16">
        <w:rPr>
          <w:i/>
          <w:iCs/>
          <w:color w:val="auto"/>
          <w:sz w:val="18"/>
          <w:szCs w:val="24"/>
        </w:rPr>
        <w:t>et al.</w:t>
      </w:r>
      <w:r w:rsidRPr="00162B16">
        <w:rPr>
          <w:color w:val="auto"/>
          <w:sz w:val="18"/>
          <w:szCs w:val="24"/>
        </w:rPr>
        <w:t xml:space="preserve"> Log-transformation and its implications for data analysis. Shanghai Arch Psychiatry 2014; 26: 105–109.</w:t>
      </w:r>
    </w:p>
    <w:p w14:paraId="0A72138B"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31</w:t>
      </w:r>
      <w:r w:rsidRPr="00162B16">
        <w:rPr>
          <w:color w:val="auto"/>
          <w:sz w:val="18"/>
          <w:szCs w:val="24"/>
        </w:rPr>
        <w:t>.</w:t>
      </w:r>
      <w:r w:rsidRPr="00162B16">
        <w:rPr>
          <w:color w:val="auto"/>
          <w:sz w:val="18"/>
          <w:szCs w:val="24"/>
        </w:rPr>
        <w:tab/>
        <w:t>Lahti J, Laaksonen M, Lahelma E, Rahkonen O. Changes in leisure-time physical activity after transition to retirement: a follow-up study. Int J Behav Nutr Phys Act 2011; 8: 36.</w:t>
      </w:r>
    </w:p>
    <w:p w14:paraId="55647AA9"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32</w:t>
      </w:r>
      <w:r w:rsidRPr="00162B16">
        <w:rPr>
          <w:color w:val="auto"/>
          <w:sz w:val="18"/>
          <w:szCs w:val="24"/>
        </w:rPr>
        <w:t>.</w:t>
      </w:r>
      <w:r w:rsidRPr="00162B16">
        <w:rPr>
          <w:color w:val="auto"/>
          <w:sz w:val="18"/>
          <w:szCs w:val="24"/>
        </w:rPr>
        <w:tab/>
        <w:t>Smith L, Gardner B, Fisher A, Hamer M. Patterns and correlates of physical activity behaviour over 10 years in older adults: Prospective analyses from the English Longitudinal Study of Ageing. BMJ Open 2015; 5: 1–5.</w:t>
      </w:r>
    </w:p>
    <w:p w14:paraId="0AC283F5"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33</w:t>
      </w:r>
      <w:r w:rsidRPr="00162B16">
        <w:rPr>
          <w:color w:val="auto"/>
          <w:sz w:val="18"/>
          <w:szCs w:val="24"/>
        </w:rPr>
        <w:t>.</w:t>
      </w:r>
      <w:r w:rsidRPr="00162B16">
        <w:rPr>
          <w:color w:val="auto"/>
          <w:sz w:val="18"/>
          <w:szCs w:val="24"/>
        </w:rPr>
        <w:tab/>
        <w:t>Jackson AS, Sui X, Hébert JR, Church TS, Blair SN. Role of lifestyle and aging on the longitudinal change in cardiorespiratory fitness. Arch Intern Med 2009; 169: 1781–1787.</w:t>
      </w:r>
    </w:p>
    <w:p w14:paraId="634D0A52"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34</w:t>
      </w:r>
      <w:r w:rsidRPr="00162B16">
        <w:rPr>
          <w:color w:val="auto"/>
          <w:sz w:val="18"/>
          <w:szCs w:val="24"/>
        </w:rPr>
        <w:t>.</w:t>
      </w:r>
      <w:r w:rsidRPr="00162B16">
        <w:rPr>
          <w:color w:val="auto"/>
          <w:sz w:val="18"/>
          <w:szCs w:val="24"/>
        </w:rPr>
        <w:tab/>
        <w:t>Idler E, Cartwright K. What Do We Rate When We Rate Our Health? Decomposing Age-related Contributions to Self-rated Health. J Health Soc Behav 2018; 59: 74–93.</w:t>
      </w:r>
    </w:p>
    <w:p w14:paraId="1D91CE19"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35</w:t>
      </w:r>
      <w:r w:rsidRPr="00162B16">
        <w:rPr>
          <w:color w:val="auto"/>
          <w:sz w:val="18"/>
          <w:szCs w:val="24"/>
        </w:rPr>
        <w:t>.</w:t>
      </w:r>
      <w:r w:rsidRPr="00162B16">
        <w:rPr>
          <w:color w:val="auto"/>
          <w:sz w:val="18"/>
          <w:szCs w:val="24"/>
        </w:rPr>
        <w:tab/>
        <w:t>Beyer AK, Wolff JK, Warner LM, Schüz B, Wurm S. The role of physical activity in the relationship between self-perceptions of ageing and self-rated health in older adults. Psychol Heal 2015; 30: 671–685.</w:t>
      </w:r>
    </w:p>
    <w:p w14:paraId="7D9C548B"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36</w:t>
      </w:r>
      <w:r w:rsidRPr="00162B16">
        <w:rPr>
          <w:color w:val="auto"/>
          <w:sz w:val="18"/>
          <w:szCs w:val="24"/>
        </w:rPr>
        <w:t>.</w:t>
      </w:r>
      <w:r w:rsidRPr="00162B16">
        <w:rPr>
          <w:color w:val="auto"/>
          <w:sz w:val="18"/>
          <w:szCs w:val="24"/>
        </w:rPr>
        <w:tab/>
        <w:t>Abuladze L, Kunder N, Lang K, Vaask S. Associations between self-rated health and health behaviour among older adults in Estonia: A cross-sectional analysis. BMJ Open 2017; 7: 1–9.</w:t>
      </w:r>
    </w:p>
    <w:p w14:paraId="716452ED"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37</w:t>
      </w:r>
      <w:r w:rsidRPr="00162B16">
        <w:rPr>
          <w:color w:val="auto"/>
          <w:sz w:val="18"/>
          <w:szCs w:val="24"/>
        </w:rPr>
        <w:t>.</w:t>
      </w:r>
      <w:r w:rsidRPr="00162B16">
        <w:rPr>
          <w:color w:val="auto"/>
          <w:sz w:val="18"/>
          <w:szCs w:val="24"/>
        </w:rPr>
        <w:tab/>
        <w:t xml:space="preserve">Usselman ET, Diez-Roux A V, Franklin TG </w:t>
      </w:r>
      <w:r w:rsidRPr="00162B16">
        <w:rPr>
          <w:i/>
          <w:iCs/>
          <w:color w:val="auto"/>
          <w:sz w:val="18"/>
          <w:szCs w:val="24"/>
        </w:rPr>
        <w:t>et al.</w:t>
      </w:r>
      <w:r w:rsidRPr="00162B16">
        <w:rPr>
          <w:color w:val="auto"/>
          <w:sz w:val="18"/>
          <w:szCs w:val="24"/>
        </w:rPr>
        <w:t xml:space="preserve"> Life-course socioeconomic positions and subclinical atherosclerosis in the multi-ethnic study of atherosclerosis. Soc Sci Med 2009; 68: 444–451.</w:t>
      </w:r>
    </w:p>
    <w:p w14:paraId="30CE46CF"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38</w:t>
      </w:r>
      <w:r w:rsidRPr="00162B16">
        <w:rPr>
          <w:color w:val="auto"/>
          <w:sz w:val="18"/>
          <w:szCs w:val="24"/>
        </w:rPr>
        <w:t>.</w:t>
      </w:r>
      <w:r w:rsidRPr="00162B16">
        <w:rPr>
          <w:color w:val="auto"/>
          <w:sz w:val="18"/>
          <w:szCs w:val="24"/>
        </w:rPr>
        <w:tab/>
        <w:t>Evenson KR, Rosamond WD, Cai J, Diez-Roux A V, Brancati FL. Influence of retirement on leisure-time physical activity: the atherosclerosis risk in communities study. Am J Epidemiol 2002; 155: 692–699.</w:t>
      </w:r>
    </w:p>
    <w:p w14:paraId="747F3EA6"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39</w:t>
      </w:r>
      <w:r w:rsidRPr="00162B16">
        <w:rPr>
          <w:color w:val="auto"/>
          <w:sz w:val="18"/>
          <w:szCs w:val="24"/>
        </w:rPr>
        <w:t>.</w:t>
      </w:r>
      <w:r w:rsidRPr="00162B16">
        <w:rPr>
          <w:color w:val="auto"/>
          <w:sz w:val="18"/>
          <w:szCs w:val="24"/>
        </w:rPr>
        <w:tab/>
        <w:t>Touvier M, Bertrais S, Charreire H, Vergnaud A-C, Hercberg S, Oppert J-M. Changes in leisure-time physical activity and sedentary behaviour at retirement: a prospective study in middle-aged French subjects. Int J Behav Nutr Phys Act 2010; 7: 14.</w:t>
      </w:r>
    </w:p>
    <w:p w14:paraId="50936322"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40</w:t>
      </w:r>
      <w:r w:rsidRPr="00162B16">
        <w:rPr>
          <w:color w:val="auto"/>
          <w:sz w:val="18"/>
          <w:szCs w:val="24"/>
        </w:rPr>
        <w:t>.</w:t>
      </w:r>
      <w:r w:rsidRPr="00162B16">
        <w:rPr>
          <w:color w:val="auto"/>
          <w:sz w:val="18"/>
          <w:szCs w:val="24"/>
        </w:rPr>
        <w:tab/>
        <w:t>Transport Malta. National Household Travel Survey 2010. Malta, 2010.</w:t>
      </w:r>
    </w:p>
    <w:p w14:paraId="414F00DE"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41</w:t>
      </w:r>
      <w:r w:rsidRPr="00162B16">
        <w:rPr>
          <w:color w:val="auto"/>
          <w:sz w:val="18"/>
          <w:szCs w:val="24"/>
        </w:rPr>
        <w:t>.</w:t>
      </w:r>
      <w:r w:rsidRPr="00162B16">
        <w:rPr>
          <w:color w:val="auto"/>
          <w:sz w:val="18"/>
          <w:szCs w:val="24"/>
        </w:rPr>
        <w:tab/>
        <w:t>Sun F, Norman IJ, While AE. Physical activity in older people: A systematic review. BMC Public Health 2013; 13: 449.</w:t>
      </w:r>
    </w:p>
    <w:p w14:paraId="0EE1259C"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42</w:t>
      </w:r>
      <w:r w:rsidRPr="00162B16">
        <w:rPr>
          <w:color w:val="auto"/>
          <w:sz w:val="18"/>
          <w:szCs w:val="24"/>
        </w:rPr>
        <w:t>.</w:t>
      </w:r>
      <w:r w:rsidRPr="00162B16">
        <w:rPr>
          <w:color w:val="auto"/>
          <w:sz w:val="18"/>
          <w:szCs w:val="24"/>
        </w:rPr>
        <w:tab/>
        <w:t>Yeung DY, Zhou X. Planning for retirement: Longitudinal effect on retirement resources and post-retirement well-being. Front Psychol 2017; 8.</w:t>
      </w:r>
    </w:p>
    <w:p w14:paraId="6E6C86CB"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43</w:t>
      </w:r>
      <w:r w:rsidRPr="00162B16">
        <w:rPr>
          <w:color w:val="auto"/>
          <w:sz w:val="18"/>
          <w:szCs w:val="24"/>
        </w:rPr>
        <w:t>.</w:t>
      </w:r>
      <w:r w:rsidRPr="00162B16">
        <w:rPr>
          <w:color w:val="auto"/>
          <w:sz w:val="18"/>
          <w:szCs w:val="24"/>
        </w:rPr>
        <w:tab/>
        <w:t xml:space="preserve">Wang M, Henkens K, van Solinge H. Retirement adjustment: A review of theoretical and empirical advancements. Am </w:t>
      </w:r>
      <w:r w:rsidRPr="00162B16">
        <w:rPr>
          <w:color w:val="auto"/>
          <w:sz w:val="18"/>
          <w:szCs w:val="24"/>
        </w:rPr>
        <w:lastRenderedPageBreak/>
        <w:t>Psychol 2011; 66: 204–213.</w:t>
      </w:r>
    </w:p>
    <w:p w14:paraId="547C11A1"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44</w:t>
      </w:r>
      <w:r w:rsidRPr="00162B16">
        <w:rPr>
          <w:color w:val="auto"/>
          <w:sz w:val="18"/>
          <w:szCs w:val="24"/>
        </w:rPr>
        <w:t>.</w:t>
      </w:r>
      <w:r w:rsidRPr="00162B16">
        <w:rPr>
          <w:color w:val="auto"/>
          <w:sz w:val="18"/>
          <w:szCs w:val="24"/>
        </w:rPr>
        <w:tab/>
        <w:t>Cheng HG, Phillips MR. Secondary analysis of existing data: opportunities and implementation. Shanghai Arch Psychiatry 2014; 26: 371–375.</w:t>
      </w:r>
    </w:p>
    <w:p w14:paraId="36BD3F4E"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45</w:t>
      </w:r>
      <w:r w:rsidRPr="00162B16">
        <w:rPr>
          <w:color w:val="auto"/>
          <w:sz w:val="18"/>
          <w:szCs w:val="24"/>
        </w:rPr>
        <w:t>.</w:t>
      </w:r>
      <w:r w:rsidRPr="00162B16">
        <w:rPr>
          <w:color w:val="auto"/>
          <w:sz w:val="18"/>
          <w:szCs w:val="24"/>
        </w:rPr>
        <w:tab/>
        <w:t xml:space="preserve">Sattler MC, Jaunig J, Tösch C </w:t>
      </w:r>
      <w:r w:rsidRPr="00162B16">
        <w:rPr>
          <w:i/>
          <w:iCs/>
          <w:color w:val="auto"/>
          <w:sz w:val="18"/>
          <w:szCs w:val="24"/>
        </w:rPr>
        <w:t>et al.</w:t>
      </w:r>
      <w:r w:rsidRPr="00162B16">
        <w:rPr>
          <w:color w:val="auto"/>
          <w:sz w:val="18"/>
          <w:szCs w:val="24"/>
        </w:rPr>
        <w:t xml:space="preserve"> Current Evidence of Measurement Properties of Physical Activity Questionnaires for Older Adults: An Updated Systematic Review. Springer International Publishing, 2020.</w:t>
      </w:r>
    </w:p>
    <w:p w14:paraId="153269CE" w14:textId="77777777" w:rsidR="003610B8" w:rsidRPr="00162B16" w:rsidRDefault="003610B8" w:rsidP="003610B8">
      <w:pPr>
        <w:widowControl w:val="0"/>
        <w:autoSpaceDE w:val="0"/>
        <w:autoSpaceDN w:val="0"/>
        <w:adjustRightInd w:val="0"/>
        <w:spacing w:line="240" w:lineRule="atLeast"/>
        <w:ind w:left="640" w:hanging="640"/>
        <w:rPr>
          <w:color w:val="auto"/>
          <w:sz w:val="18"/>
          <w:szCs w:val="24"/>
        </w:rPr>
      </w:pPr>
      <w:r w:rsidRPr="00162B16">
        <w:rPr>
          <w:b/>
          <w:bCs/>
          <w:color w:val="auto"/>
          <w:sz w:val="18"/>
          <w:szCs w:val="24"/>
        </w:rPr>
        <w:t>46</w:t>
      </w:r>
      <w:r w:rsidRPr="00162B16">
        <w:rPr>
          <w:color w:val="auto"/>
          <w:sz w:val="18"/>
          <w:szCs w:val="24"/>
        </w:rPr>
        <w:t>.</w:t>
      </w:r>
      <w:r w:rsidRPr="00162B16">
        <w:rPr>
          <w:color w:val="auto"/>
          <w:sz w:val="18"/>
          <w:szCs w:val="24"/>
        </w:rPr>
        <w:tab/>
        <w:t>Troiano RP, Pettee Gabriel KK, Welk GJ, Owen N, Sternfeld B. Reported Physical Activity and Sedentary Behavior: Why Do You Ask? J Phys Act Heal 2012; 9: S68–S75.</w:t>
      </w:r>
    </w:p>
    <w:p w14:paraId="4A11CED7" w14:textId="77777777" w:rsidR="003610B8" w:rsidRPr="00162B16" w:rsidRDefault="003610B8" w:rsidP="003610B8">
      <w:pPr>
        <w:widowControl w:val="0"/>
        <w:autoSpaceDE w:val="0"/>
        <w:autoSpaceDN w:val="0"/>
        <w:adjustRightInd w:val="0"/>
        <w:spacing w:line="240" w:lineRule="atLeast"/>
        <w:ind w:left="640" w:hanging="640"/>
        <w:rPr>
          <w:color w:val="auto"/>
          <w:sz w:val="18"/>
        </w:rPr>
      </w:pPr>
      <w:r w:rsidRPr="00162B16">
        <w:rPr>
          <w:b/>
          <w:bCs/>
          <w:color w:val="auto"/>
          <w:sz w:val="18"/>
          <w:szCs w:val="24"/>
        </w:rPr>
        <w:t>47</w:t>
      </w:r>
      <w:r w:rsidRPr="00162B16">
        <w:rPr>
          <w:color w:val="auto"/>
          <w:sz w:val="18"/>
          <w:szCs w:val="24"/>
        </w:rPr>
        <w:t>.</w:t>
      </w:r>
      <w:r w:rsidRPr="00162B16">
        <w:rPr>
          <w:color w:val="auto"/>
          <w:sz w:val="18"/>
          <w:szCs w:val="24"/>
        </w:rPr>
        <w:tab/>
        <w:t>Loney T, Standage M, Thompson D, Sebire SJ, Cumming S. Self-report vs. objectively assessed physical activity: Which is right for public health? J Phys Act Heal 2011; 8: 62–70.</w:t>
      </w:r>
    </w:p>
    <w:p w14:paraId="2E4BDBFC" w14:textId="5E3AC8F5" w:rsidR="00937EA2" w:rsidRPr="00162B16" w:rsidRDefault="00C77C01" w:rsidP="002C3233">
      <w:pPr>
        <w:pStyle w:val="MDPI71References"/>
        <w:spacing w:line="200" w:lineRule="atLeast"/>
        <w:rPr>
          <w:color w:val="auto"/>
        </w:rPr>
      </w:pPr>
      <w:r w:rsidRPr="00162B16">
        <w:rPr>
          <w:color w:val="auto"/>
        </w:rPr>
        <w:fldChar w:fldCharType="end"/>
      </w:r>
    </w:p>
    <w:sectPr w:rsidR="00937EA2" w:rsidRPr="00162B16" w:rsidSect="00D2168E">
      <w:headerReference w:type="even" r:id="rId11"/>
      <w:headerReference w:type="default" r:id="rId12"/>
      <w:footerReference w:type="default" r:id="rId13"/>
      <w:headerReference w:type="first" r:id="rId14"/>
      <w:footerReference w:type="first" r:id="rId15"/>
      <w:type w:val="continuous"/>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79CE7" w14:textId="77777777" w:rsidR="00101E3F" w:rsidRDefault="00101E3F">
      <w:pPr>
        <w:spacing w:line="240" w:lineRule="auto"/>
      </w:pPr>
      <w:r>
        <w:separator/>
      </w:r>
    </w:p>
  </w:endnote>
  <w:endnote w:type="continuationSeparator" w:id="0">
    <w:p w14:paraId="5F8CF350" w14:textId="77777777" w:rsidR="00101E3F" w:rsidRDefault="00101E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MS Mincho"/>
    <w:panose1 w:val="00000000000000000000"/>
    <w:charset w:val="80"/>
    <w:family w:val="auto"/>
    <w:notTrueType/>
    <w:pitch w:val="default"/>
    <w:sig w:usb0="00000000" w:usb1="08070000" w:usb2="00000010" w:usb3="00000000" w:csb0="0002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C3AC7" w14:textId="77777777" w:rsidR="00FA6861" w:rsidRPr="00591A13" w:rsidRDefault="00FA6861" w:rsidP="00FA6861">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3A721" w14:textId="77777777" w:rsidR="00C25374" w:rsidRDefault="00C25374" w:rsidP="00A07D45">
    <w:pPr>
      <w:pBdr>
        <w:top w:val="single" w:sz="4" w:space="0" w:color="000000"/>
      </w:pBdr>
      <w:tabs>
        <w:tab w:val="right" w:pos="8844"/>
      </w:tabs>
      <w:adjustRightInd w:val="0"/>
      <w:snapToGrid w:val="0"/>
      <w:spacing w:before="480" w:line="100" w:lineRule="exact"/>
      <w:jc w:val="left"/>
      <w:rPr>
        <w:i/>
        <w:iCs/>
        <w:sz w:val="16"/>
        <w:szCs w:val="16"/>
      </w:rPr>
    </w:pPr>
  </w:p>
  <w:p w14:paraId="423F6E6F" w14:textId="6179CDE5" w:rsidR="00FA6861" w:rsidRPr="002905B3" w:rsidRDefault="00D90E42" w:rsidP="000F3770">
    <w:pPr>
      <w:tabs>
        <w:tab w:val="right" w:pos="10466"/>
      </w:tabs>
      <w:adjustRightInd w:val="0"/>
      <w:snapToGrid w:val="0"/>
      <w:spacing w:line="240" w:lineRule="auto"/>
      <w:rPr>
        <w:iCs/>
        <w:sz w:val="16"/>
        <w:szCs w:val="16"/>
        <w:lang w:val="fr-CH"/>
      </w:rPr>
    </w:pPr>
    <w:r w:rsidRPr="00D90E42">
      <w:rPr>
        <w:i/>
        <w:iCs/>
        <w:sz w:val="16"/>
        <w:szCs w:val="16"/>
      </w:rPr>
      <w:t>J. Ageing Longev.</w:t>
    </w:r>
    <w:r w:rsidR="007758CD">
      <w:rPr>
        <w:i/>
        <w:iCs/>
        <w:sz w:val="16"/>
        <w:szCs w:val="16"/>
      </w:rPr>
      <w:t xml:space="preserve"> </w:t>
    </w:r>
    <w:r w:rsidR="00AE72BC" w:rsidRPr="00AE72BC">
      <w:rPr>
        <w:b/>
        <w:bCs/>
        <w:iCs/>
        <w:sz w:val="16"/>
        <w:szCs w:val="16"/>
        <w:lang w:val="it-IT"/>
      </w:rPr>
      <w:t>2021</w:t>
    </w:r>
    <w:r w:rsidR="00812671" w:rsidRPr="00812671">
      <w:rPr>
        <w:bCs/>
        <w:iCs/>
        <w:sz w:val="16"/>
        <w:szCs w:val="16"/>
        <w:lang w:val="it-IT"/>
      </w:rPr>
      <w:t xml:space="preserve">, </w:t>
    </w:r>
    <w:r w:rsidR="00837C51">
      <w:rPr>
        <w:bCs/>
        <w:i/>
        <w:iCs/>
        <w:sz w:val="16"/>
        <w:szCs w:val="16"/>
        <w:lang w:val="it-IT"/>
      </w:rPr>
      <w:t>1</w:t>
    </w:r>
    <w:r w:rsidR="00812671" w:rsidRPr="00812671">
      <w:rPr>
        <w:bCs/>
        <w:iCs/>
        <w:sz w:val="16"/>
        <w:szCs w:val="16"/>
        <w:lang w:val="it-IT"/>
      </w:rPr>
      <w:t xml:space="preserve">, </w:t>
    </w:r>
    <w:r w:rsidR="0027522A">
      <w:rPr>
        <w:bCs/>
        <w:iCs/>
        <w:sz w:val="16"/>
        <w:szCs w:val="16"/>
      </w:rPr>
      <w:t>Firstpage–Lastpage</w:t>
    </w:r>
    <w:r w:rsidR="00C25374">
      <w:rPr>
        <w:bCs/>
        <w:iCs/>
        <w:sz w:val="16"/>
        <w:szCs w:val="16"/>
      </w:rPr>
      <w:t>. https://doi.org/10.3390/xxxxx</w:t>
    </w:r>
    <w:bookmarkStart w:id="4" w:name="OLE_LINK3"/>
    <w:bookmarkStart w:id="5" w:name="OLE_LINK4"/>
    <w:r w:rsidR="00D2168E">
      <w:rPr>
        <w:sz w:val="16"/>
        <w:szCs w:val="16"/>
        <w:lang w:val="fr-CH"/>
      </w:rPr>
      <w:ptab w:relativeTo="margin" w:alignment="right" w:leader="none"/>
    </w:r>
    <w:r w:rsidR="00FA6861" w:rsidRPr="00372FCD">
      <w:rPr>
        <w:sz w:val="16"/>
        <w:szCs w:val="16"/>
        <w:lang w:val="fr-CH"/>
      </w:rPr>
      <w:t>www.mdpi.com/</w:t>
    </w:r>
    <w:r w:rsidR="00FA6861" w:rsidRPr="00D236DF">
      <w:rPr>
        <w:sz w:val="16"/>
        <w:szCs w:val="16"/>
        <w:lang w:val="fr-CH"/>
      </w:rPr>
      <w:t>journal/</w:t>
    </w:r>
    <w:bookmarkEnd w:id="4"/>
    <w:bookmarkEnd w:id="5"/>
    <w:r>
      <w:rPr>
        <w:rFonts w:hint="eastAsia"/>
        <w:sz w:val="16"/>
        <w:szCs w:val="16"/>
        <w:lang w:val="fr-CH"/>
      </w:rPr>
      <w:t>jal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95A35" w14:textId="77777777" w:rsidR="00101E3F" w:rsidRDefault="00101E3F">
      <w:pPr>
        <w:spacing w:line="240" w:lineRule="auto"/>
      </w:pPr>
      <w:r>
        <w:separator/>
      </w:r>
    </w:p>
  </w:footnote>
  <w:footnote w:type="continuationSeparator" w:id="0">
    <w:p w14:paraId="6AD470D1" w14:textId="77777777" w:rsidR="00101E3F" w:rsidRDefault="00101E3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7FE7F" w14:textId="77777777" w:rsidR="00FA6861" w:rsidRDefault="00FA6861" w:rsidP="00FA6861">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DAD8C" w14:textId="4DDF6F63" w:rsidR="00C25374" w:rsidRDefault="00D90E42" w:rsidP="000F3770">
    <w:pPr>
      <w:tabs>
        <w:tab w:val="right" w:pos="10466"/>
      </w:tabs>
      <w:adjustRightInd w:val="0"/>
      <w:snapToGrid w:val="0"/>
      <w:spacing w:line="240" w:lineRule="auto"/>
      <w:rPr>
        <w:sz w:val="16"/>
      </w:rPr>
    </w:pPr>
    <w:r w:rsidRPr="00D90E42">
      <w:rPr>
        <w:i/>
        <w:iCs/>
        <w:sz w:val="16"/>
        <w:szCs w:val="16"/>
      </w:rPr>
      <w:t>J. Ageing Longev.</w:t>
    </w:r>
    <w:r w:rsidR="007758CD">
      <w:rPr>
        <w:i/>
        <w:iCs/>
        <w:sz w:val="16"/>
        <w:szCs w:val="16"/>
      </w:rPr>
      <w:t xml:space="preserve"> </w:t>
    </w:r>
    <w:r w:rsidR="00C41AF0" w:rsidRPr="00C41AF0">
      <w:rPr>
        <w:b/>
        <w:sz w:val="16"/>
      </w:rPr>
      <w:t>2021</w:t>
    </w:r>
    <w:r w:rsidR="00812671" w:rsidRPr="00812671">
      <w:rPr>
        <w:sz w:val="16"/>
      </w:rPr>
      <w:t xml:space="preserve">, </w:t>
    </w:r>
    <w:r w:rsidR="00837C51">
      <w:rPr>
        <w:i/>
        <w:sz w:val="16"/>
      </w:rPr>
      <w:t>1</w:t>
    </w:r>
    <w:r w:rsidR="00D236DF">
      <w:rPr>
        <w:sz w:val="16"/>
      </w:rPr>
      <w:t>, FOR PEER REVIEW</w:t>
    </w:r>
    <w:r w:rsidR="00D2168E">
      <w:rPr>
        <w:sz w:val="16"/>
      </w:rPr>
      <w:ptab w:relativeTo="margin" w:alignment="right" w:leader="none"/>
    </w:r>
    <w:r w:rsidR="00F7266F">
      <w:rPr>
        <w:sz w:val="16"/>
      </w:rPr>
      <w:fldChar w:fldCharType="begin"/>
    </w:r>
    <w:r w:rsidR="00F7266F">
      <w:rPr>
        <w:sz w:val="16"/>
      </w:rPr>
      <w:instrText xml:space="preserve"> PAGE   \* MERGEFORMAT </w:instrText>
    </w:r>
    <w:r w:rsidR="00F7266F">
      <w:rPr>
        <w:sz w:val="16"/>
      </w:rPr>
      <w:fldChar w:fldCharType="separate"/>
    </w:r>
    <w:r w:rsidR="00CB5B85">
      <w:rPr>
        <w:sz w:val="16"/>
      </w:rPr>
      <w:t>4</w:t>
    </w:r>
    <w:r w:rsidR="00F7266F">
      <w:rPr>
        <w:sz w:val="16"/>
      </w:rPr>
      <w:fldChar w:fldCharType="end"/>
    </w:r>
  </w:p>
  <w:p w14:paraId="0D478923" w14:textId="77777777" w:rsidR="00FA6861" w:rsidRPr="00E74B43" w:rsidRDefault="00FA6861" w:rsidP="00A07D45">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C25374" w:rsidRPr="000F3770" w14:paraId="7E0A079D" w14:textId="77777777" w:rsidTr="000F3770">
      <w:trPr>
        <w:trHeight w:val="686"/>
      </w:trPr>
      <w:tc>
        <w:tcPr>
          <w:tcW w:w="3679" w:type="dxa"/>
          <w:shd w:val="clear" w:color="auto" w:fill="auto"/>
          <w:vAlign w:val="center"/>
        </w:tcPr>
        <w:p w14:paraId="040196C5" w14:textId="77777777" w:rsidR="00C25374" w:rsidRPr="00DC06CB" w:rsidRDefault="00A003DE" w:rsidP="000F3770">
          <w:pPr>
            <w:pStyle w:val="Header"/>
            <w:pBdr>
              <w:bottom w:val="none" w:sz="0" w:space="0" w:color="auto"/>
            </w:pBdr>
            <w:jc w:val="left"/>
            <w:rPr>
              <w:rFonts w:eastAsia="DengXian"/>
              <w:b/>
              <w:bCs/>
            </w:rPr>
          </w:pPr>
          <w:r>
            <w:drawing>
              <wp:inline distT="0" distB="0" distL="0" distR="0" wp14:anchorId="25991708" wp14:editId="7D156472">
                <wp:extent cx="1905000" cy="4292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429260"/>
                        </a:xfrm>
                        <a:prstGeom prst="rect">
                          <a:avLst/>
                        </a:prstGeom>
                        <a:noFill/>
                        <a:ln>
                          <a:noFill/>
                        </a:ln>
                      </pic:spPr>
                    </pic:pic>
                  </a:graphicData>
                </a:graphic>
              </wp:inline>
            </w:drawing>
          </w:r>
        </w:p>
      </w:tc>
      <w:tc>
        <w:tcPr>
          <w:tcW w:w="4535" w:type="dxa"/>
          <w:shd w:val="clear" w:color="auto" w:fill="auto"/>
          <w:vAlign w:val="center"/>
        </w:tcPr>
        <w:p w14:paraId="4C01AD60" w14:textId="77777777" w:rsidR="00C25374" w:rsidRPr="00DC06CB" w:rsidRDefault="00C25374" w:rsidP="000F3770">
          <w:pPr>
            <w:pStyle w:val="Header"/>
            <w:pBdr>
              <w:bottom w:val="none" w:sz="0" w:space="0" w:color="auto"/>
            </w:pBdr>
            <w:rPr>
              <w:rFonts w:eastAsia="DengXian"/>
              <w:b/>
              <w:bCs/>
            </w:rPr>
          </w:pPr>
        </w:p>
      </w:tc>
      <w:tc>
        <w:tcPr>
          <w:tcW w:w="2273" w:type="dxa"/>
          <w:shd w:val="clear" w:color="auto" w:fill="auto"/>
          <w:vAlign w:val="center"/>
        </w:tcPr>
        <w:p w14:paraId="77652359" w14:textId="77777777" w:rsidR="00C25374" w:rsidRPr="00DC06CB" w:rsidRDefault="00A003DE" w:rsidP="000F3770">
          <w:pPr>
            <w:pStyle w:val="Header"/>
            <w:pBdr>
              <w:bottom w:val="none" w:sz="0" w:space="0" w:color="auto"/>
            </w:pBdr>
            <w:jc w:val="right"/>
            <w:rPr>
              <w:rFonts w:eastAsia="DengXian"/>
              <w:b/>
              <w:bCs/>
            </w:rPr>
          </w:pPr>
          <w:r w:rsidRPr="00DC06CB">
            <w:rPr>
              <w:rFonts w:eastAsia="DengXian"/>
              <w:b/>
              <w:bCs/>
            </w:rPr>
            <w:drawing>
              <wp:inline distT="0" distB="0" distL="0" distR="0" wp14:anchorId="38BB61C0" wp14:editId="07A1D1CE">
                <wp:extent cx="540385" cy="35306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0385" cy="353060"/>
                        </a:xfrm>
                        <a:prstGeom prst="rect">
                          <a:avLst/>
                        </a:prstGeom>
                        <a:noFill/>
                        <a:ln>
                          <a:noFill/>
                        </a:ln>
                      </pic:spPr>
                    </pic:pic>
                  </a:graphicData>
                </a:graphic>
              </wp:inline>
            </w:drawing>
          </w:r>
        </w:p>
      </w:tc>
    </w:tr>
  </w:tbl>
  <w:p w14:paraId="61D2FCA8" w14:textId="77777777" w:rsidR="00FA6861" w:rsidRPr="00C25374" w:rsidRDefault="00FA6861" w:rsidP="00A07D45">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76F3A"/>
    <w:multiLevelType w:val="hybridMultilevel"/>
    <w:tmpl w:val="C8C498F8"/>
    <w:lvl w:ilvl="0" w:tplc="08F85C70">
      <w:start w:val="1"/>
      <w:numFmt w:val="decimal"/>
      <w:lvlText w:val="%1."/>
      <w:lvlJc w:val="left"/>
      <w:pPr>
        <w:ind w:left="516" w:hanging="516"/>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8B468F5"/>
    <w:multiLevelType w:val="hybridMultilevel"/>
    <w:tmpl w:val="F7E250A8"/>
    <w:lvl w:ilvl="0" w:tplc="5A92E4B0">
      <w:start w:val="1"/>
      <w:numFmt w:val="decimal"/>
      <w:lvlRestart w:val="0"/>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3"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5"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7" w15:restartNumberingAfterBreak="0">
    <w:nsid w:val="52E2771B"/>
    <w:multiLevelType w:val="hybridMultilevel"/>
    <w:tmpl w:val="A2A06AAC"/>
    <w:lvl w:ilvl="0" w:tplc="C788203A">
      <w:start w:val="1"/>
      <w:numFmt w:val="decimal"/>
      <w:lvlRestart w:val="0"/>
      <w:pStyle w:val="MDPI71FootNotes"/>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9"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10" w15:restartNumberingAfterBreak="0">
    <w:nsid w:val="77BE07A3"/>
    <w:multiLevelType w:val="hybridMultilevel"/>
    <w:tmpl w:val="460CA9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8"/>
  </w:num>
  <w:num w:numId="7">
    <w:abstractNumId w:val="2"/>
  </w:num>
  <w:num w:numId="8">
    <w:abstractNumId w:val="8"/>
  </w:num>
  <w:num w:numId="9">
    <w:abstractNumId w:val="2"/>
  </w:num>
  <w:num w:numId="10">
    <w:abstractNumId w:val="8"/>
  </w:num>
  <w:num w:numId="11">
    <w:abstractNumId w:val="2"/>
  </w:num>
  <w:num w:numId="12">
    <w:abstractNumId w:val="9"/>
  </w:num>
  <w:num w:numId="13">
    <w:abstractNumId w:val="8"/>
  </w:num>
  <w:num w:numId="14">
    <w:abstractNumId w:val="2"/>
  </w:num>
  <w:num w:numId="15">
    <w:abstractNumId w:val="1"/>
  </w:num>
  <w:num w:numId="16">
    <w:abstractNumId w:val="7"/>
  </w:num>
  <w:num w:numId="17">
    <w:abstractNumId w:val="8"/>
  </w:num>
  <w:num w:numId="18">
    <w:abstractNumId w:val="2"/>
  </w:num>
  <w:num w:numId="19">
    <w:abstractNumId w:val="10"/>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D9C"/>
    <w:rsid w:val="000007D1"/>
    <w:rsid w:val="00000F40"/>
    <w:rsid w:val="000075B7"/>
    <w:rsid w:val="000147B9"/>
    <w:rsid w:val="00021DB6"/>
    <w:rsid w:val="0002463C"/>
    <w:rsid w:val="00030A56"/>
    <w:rsid w:val="00041A04"/>
    <w:rsid w:val="00044907"/>
    <w:rsid w:val="00056D71"/>
    <w:rsid w:val="00063A94"/>
    <w:rsid w:val="000779E3"/>
    <w:rsid w:val="00077A23"/>
    <w:rsid w:val="00082224"/>
    <w:rsid w:val="000A762B"/>
    <w:rsid w:val="000B63BA"/>
    <w:rsid w:val="000C7AB4"/>
    <w:rsid w:val="000E0476"/>
    <w:rsid w:val="000F3770"/>
    <w:rsid w:val="00101E3F"/>
    <w:rsid w:val="001072A7"/>
    <w:rsid w:val="0010747B"/>
    <w:rsid w:val="00107CEC"/>
    <w:rsid w:val="0011600E"/>
    <w:rsid w:val="00125D89"/>
    <w:rsid w:val="001274EA"/>
    <w:rsid w:val="00127920"/>
    <w:rsid w:val="001364CF"/>
    <w:rsid w:val="00147BC3"/>
    <w:rsid w:val="00151A1B"/>
    <w:rsid w:val="00157E7C"/>
    <w:rsid w:val="00162B16"/>
    <w:rsid w:val="0016382E"/>
    <w:rsid w:val="00166F7D"/>
    <w:rsid w:val="001838B0"/>
    <w:rsid w:val="00190D3F"/>
    <w:rsid w:val="00196466"/>
    <w:rsid w:val="001A63C8"/>
    <w:rsid w:val="001B037E"/>
    <w:rsid w:val="001B3594"/>
    <w:rsid w:val="001C11EF"/>
    <w:rsid w:val="001C6D9C"/>
    <w:rsid w:val="001D00F2"/>
    <w:rsid w:val="001D2666"/>
    <w:rsid w:val="001D487C"/>
    <w:rsid w:val="001E2AEB"/>
    <w:rsid w:val="001E3A54"/>
    <w:rsid w:val="001E5609"/>
    <w:rsid w:val="001E5BC4"/>
    <w:rsid w:val="002112FC"/>
    <w:rsid w:val="00226D97"/>
    <w:rsid w:val="00227DA1"/>
    <w:rsid w:val="00245EAF"/>
    <w:rsid w:val="00254C7B"/>
    <w:rsid w:val="0027522A"/>
    <w:rsid w:val="00282A3D"/>
    <w:rsid w:val="00287F77"/>
    <w:rsid w:val="002905AE"/>
    <w:rsid w:val="002905B3"/>
    <w:rsid w:val="0029788E"/>
    <w:rsid w:val="002A18DC"/>
    <w:rsid w:val="002A38B7"/>
    <w:rsid w:val="002A4156"/>
    <w:rsid w:val="002A7E0A"/>
    <w:rsid w:val="002B04D8"/>
    <w:rsid w:val="002B273F"/>
    <w:rsid w:val="002B3ED9"/>
    <w:rsid w:val="002C3233"/>
    <w:rsid w:val="002C4598"/>
    <w:rsid w:val="002D480C"/>
    <w:rsid w:val="002D4FDB"/>
    <w:rsid w:val="002E0607"/>
    <w:rsid w:val="002F14A7"/>
    <w:rsid w:val="002F4BE6"/>
    <w:rsid w:val="003024E2"/>
    <w:rsid w:val="00310C53"/>
    <w:rsid w:val="0031296C"/>
    <w:rsid w:val="00316E17"/>
    <w:rsid w:val="003170F0"/>
    <w:rsid w:val="003215C7"/>
    <w:rsid w:val="00326141"/>
    <w:rsid w:val="00335390"/>
    <w:rsid w:val="00343B0B"/>
    <w:rsid w:val="003610B8"/>
    <w:rsid w:val="003677F2"/>
    <w:rsid w:val="003916FA"/>
    <w:rsid w:val="003A1784"/>
    <w:rsid w:val="003B1A90"/>
    <w:rsid w:val="003B432E"/>
    <w:rsid w:val="003C2487"/>
    <w:rsid w:val="003E673C"/>
    <w:rsid w:val="003E775D"/>
    <w:rsid w:val="003F4DA0"/>
    <w:rsid w:val="00400CB5"/>
    <w:rsid w:val="00401D30"/>
    <w:rsid w:val="0041089F"/>
    <w:rsid w:val="00433A29"/>
    <w:rsid w:val="0044559C"/>
    <w:rsid w:val="00455395"/>
    <w:rsid w:val="00461022"/>
    <w:rsid w:val="00465019"/>
    <w:rsid w:val="00466079"/>
    <w:rsid w:val="00466280"/>
    <w:rsid w:val="00471723"/>
    <w:rsid w:val="0048153C"/>
    <w:rsid w:val="00497859"/>
    <w:rsid w:val="004A2030"/>
    <w:rsid w:val="004B6662"/>
    <w:rsid w:val="004D2CBA"/>
    <w:rsid w:val="004E4167"/>
    <w:rsid w:val="004E4638"/>
    <w:rsid w:val="004F1874"/>
    <w:rsid w:val="004F3CA8"/>
    <w:rsid w:val="005067EE"/>
    <w:rsid w:val="0051320F"/>
    <w:rsid w:val="00523619"/>
    <w:rsid w:val="005313B2"/>
    <w:rsid w:val="00534E89"/>
    <w:rsid w:val="00535B2C"/>
    <w:rsid w:val="00540643"/>
    <w:rsid w:val="005559FE"/>
    <w:rsid w:val="00562B58"/>
    <w:rsid w:val="00575B01"/>
    <w:rsid w:val="00576FD6"/>
    <w:rsid w:val="005832E1"/>
    <w:rsid w:val="005A5FAD"/>
    <w:rsid w:val="005B25F4"/>
    <w:rsid w:val="005B3BCF"/>
    <w:rsid w:val="005B7F2F"/>
    <w:rsid w:val="005C147B"/>
    <w:rsid w:val="005C7BA5"/>
    <w:rsid w:val="005E1449"/>
    <w:rsid w:val="00614FA1"/>
    <w:rsid w:val="00617FD7"/>
    <w:rsid w:val="006323CE"/>
    <w:rsid w:val="006345E6"/>
    <w:rsid w:val="006449F0"/>
    <w:rsid w:val="00644C7F"/>
    <w:rsid w:val="00646CB8"/>
    <w:rsid w:val="00647BC3"/>
    <w:rsid w:val="006702E5"/>
    <w:rsid w:val="006758E3"/>
    <w:rsid w:val="00676CF2"/>
    <w:rsid w:val="00676E12"/>
    <w:rsid w:val="006866B6"/>
    <w:rsid w:val="00691584"/>
    <w:rsid w:val="00692393"/>
    <w:rsid w:val="006A6CEC"/>
    <w:rsid w:val="006B03C7"/>
    <w:rsid w:val="006B0BFC"/>
    <w:rsid w:val="006B5D37"/>
    <w:rsid w:val="006D4870"/>
    <w:rsid w:val="006E46C8"/>
    <w:rsid w:val="00702994"/>
    <w:rsid w:val="0070389B"/>
    <w:rsid w:val="00705B31"/>
    <w:rsid w:val="00715ADB"/>
    <w:rsid w:val="00717597"/>
    <w:rsid w:val="00717805"/>
    <w:rsid w:val="00726EB1"/>
    <w:rsid w:val="00727027"/>
    <w:rsid w:val="007278EE"/>
    <w:rsid w:val="00744DDF"/>
    <w:rsid w:val="007451F6"/>
    <w:rsid w:val="00745625"/>
    <w:rsid w:val="00747315"/>
    <w:rsid w:val="00756293"/>
    <w:rsid w:val="00773818"/>
    <w:rsid w:val="00773E68"/>
    <w:rsid w:val="007758CD"/>
    <w:rsid w:val="007820D9"/>
    <w:rsid w:val="007824CC"/>
    <w:rsid w:val="00784EEA"/>
    <w:rsid w:val="007907E9"/>
    <w:rsid w:val="007A3282"/>
    <w:rsid w:val="007A70CD"/>
    <w:rsid w:val="007B6A78"/>
    <w:rsid w:val="007C45B7"/>
    <w:rsid w:val="007C600C"/>
    <w:rsid w:val="007D0DB2"/>
    <w:rsid w:val="007E0233"/>
    <w:rsid w:val="007E46E6"/>
    <w:rsid w:val="007F6CE3"/>
    <w:rsid w:val="00804E68"/>
    <w:rsid w:val="00812671"/>
    <w:rsid w:val="00815517"/>
    <w:rsid w:val="008170D8"/>
    <w:rsid w:val="008171BF"/>
    <w:rsid w:val="00820751"/>
    <w:rsid w:val="008254A5"/>
    <w:rsid w:val="00831911"/>
    <w:rsid w:val="00834DF9"/>
    <w:rsid w:val="00837C51"/>
    <w:rsid w:val="0084447D"/>
    <w:rsid w:val="00854FA3"/>
    <w:rsid w:val="00867159"/>
    <w:rsid w:val="0088421C"/>
    <w:rsid w:val="008878C4"/>
    <w:rsid w:val="00894302"/>
    <w:rsid w:val="00894FA6"/>
    <w:rsid w:val="00895E23"/>
    <w:rsid w:val="008965CE"/>
    <w:rsid w:val="008A29A2"/>
    <w:rsid w:val="008A6831"/>
    <w:rsid w:val="008B13BD"/>
    <w:rsid w:val="008B6FEA"/>
    <w:rsid w:val="008C31CE"/>
    <w:rsid w:val="008C7E82"/>
    <w:rsid w:val="008D2869"/>
    <w:rsid w:val="008D732F"/>
    <w:rsid w:val="008E4521"/>
    <w:rsid w:val="008E5282"/>
    <w:rsid w:val="008F2806"/>
    <w:rsid w:val="00904381"/>
    <w:rsid w:val="00906340"/>
    <w:rsid w:val="00907A22"/>
    <w:rsid w:val="00926CDC"/>
    <w:rsid w:val="009349DC"/>
    <w:rsid w:val="00934A24"/>
    <w:rsid w:val="00934AFF"/>
    <w:rsid w:val="00937EA2"/>
    <w:rsid w:val="00962632"/>
    <w:rsid w:val="00982766"/>
    <w:rsid w:val="00985581"/>
    <w:rsid w:val="00994DF9"/>
    <w:rsid w:val="009A23B2"/>
    <w:rsid w:val="009B75D5"/>
    <w:rsid w:val="009C32DF"/>
    <w:rsid w:val="009D3ACF"/>
    <w:rsid w:val="009F70E6"/>
    <w:rsid w:val="00A003DE"/>
    <w:rsid w:val="00A010EF"/>
    <w:rsid w:val="00A07D45"/>
    <w:rsid w:val="00A11048"/>
    <w:rsid w:val="00A14BE0"/>
    <w:rsid w:val="00A17F6A"/>
    <w:rsid w:val="00A2585C"/>
    <w:rsid w:val="00A3480C"/>
    <w:rsid w:val="00A402F1"/>
    <w:rsid w:val="00A51061"/>
    <w:rsid w:val="00A5120B"/>
    <w:rsid w:val="00A813A3"/>
    <w:rsid w:val="00A81629"/>
    <w:rsid w:val="00A83A2E"/>
    <w:rsid w:val="00A9758F"/>
    <w:rsid w:val="00AA0B65"/>
    <w:rsid w:val="00AB1014"/>
    <w:rsid w:val="00AB7402"/>
    <w:rsid w:val="00AC595D"/>
    <w:rsid w:val="00AE2380"/>
    <w:rsid w:val="00AE72BC"/>
    <w:rsid w:val="00B01BB1"/>
    <w:rsid w:val="00B119BE"/>
    <w:rsid w:val="00B23DF9"/>
    <w:rsid w:val="00B3256B"/>
    <w:rsid w:val="00B57388"/>
    <w:rsid w:val="00B70B50"/>
    <w:rsid w:val="00B71204"/>
    <w:rsid w:val="00B935C2"/>
    <w:rsid w:val="00B97E6A"/>
    <w:rsid w:val="00BA09E3"/>
    <w:rsid w:val="00BA6535"/>
    <w:rsid w:val="00BD65C8"/>
    <w:rsid w:val="00C02EDC"/>
    <w:rsid w:val="00C04D0D"/>
    <w:rsid w:val="00C16344"/>
    <w:rsid w:val="00C226C6"/>
    <w:rsid w:val="00C25374"/>
    <w:rsid w:val="00C27632"/>
    <w:rsid w:val="00C27A85"/>
    <w:rsid w:val="00C4009A"/>
    <w:rsid w:val="00C41AF0"/>
    <w:rsid w:val="00C527CA"/>
    <w:rsid w:val="00C53BE4"/>
    <w:rsid w:val="00C61A87"/>
    <w:rsid w:val="00C61C61"/>
    <w:rsid w:val="00C7545E"/>
    <w:rsid w:val="00C77C01"/>
    <w:rsid w:val="00C91BBE"/>
    <w:rsid w:val="00CB08D0"/>
    <w:rsid w:val="00CB5B85"/>
    <w:rsid w:val="00CC7616"/>
    <w:rsid w:val="00CD2B43"/>
    <w:rsid w:val="00CD5EBE"/>
    <w:rsid w:val="00CF3E5E"/>
    <w:rsid w:val="00CF5DAD"/>
    <w:rsid w:val="00D011A4"/>
    <w:rsid w:val="00D07CAF"/>
    <w:rsid w:val="00D10321"/>
    <w:rsid w:val="00D12DC9"/>
    <w:rsid w:val="00D137E3"/>
    <w:rsid w:val="00D154A3"/>
    <w:rsid w:val="00D2168E"/>
    <w:rsid w:val="00D236DF"/>
    <w:rsid w:val="00D264E8"/>
    <w:rsid w:val="00D32494"/>
    <w:rsid w:val="00D33501"/>
    <w:rsid w:val="00D36B4A"/>
    <w:rsid w:val="00D405C9"/>
    <w:rsid w:val="00D42882"/>
    <w:rsid w:val="00D54B28"/>
    <w:rsid w:val="00D65C05"/>
    <w:rsid w:val="00D77B5F"/>
    <w:rsid w:val="00D870BC"/>
    <w:rsid w:val="00D90E42"/>
    <w:rsid w:val="00D944D9"/>
    <w:rsid w:val="00DA3B2A"/>
    <w:rsid w:val="00DC0333"/>
    <w:rsid w:val="00DC06CB"/>
    <w:rsid w:val="00DD14D1"/>
    <w:rsid w:val="00DE076D"/>
    <w:rsid w:val="00DE10D6"/>
    <w:rsid w:val="00DE1187"/>
    <w:rsid w:val="00DE2D43"/>
    <w:rsid w:val="00DF75E1"/>
    <w:rsid w:val="00DF7CFC"/>
    <w:rsid w:val="00E06C86"/>
    <w:rsid w:val="00E07D1C"/>
    <w:rsid w:val="00E24C07"/>
    <w:rsid w:val="00E333FB"/>
    <w:rsid w:val="00E468FC"/>
    <w:rsid w:val="00E51CF3"/>
    <w:rsid w:val="00E91DB4"/>
    <w:rsid w:val="00E95E43"/>
    <w:rsid w:val="00EB11F8"/>
    <w:rsid w:val="00EC1E80"/>
    <w:rsid w:val="00EC36E6"/>
    <w:rsid w:val="00ED3685"/>
    <w:rsid w:val="00EE1144"/>
    <w:rsid w:val="00EF373A"/>
    <w:rsid w:val="00F01E11"/>
    <w:rsid w:val="00F05E75"/>
    <w:rsid w:val="00F15E1D"/>
    <w:rsid w:val="00F17C18"/>
    <w:rsid w:val="00F2618B"/>
    <w:rsid w:val="00F32295"/>
    <w:rsid w:val="00F4423F"/>
    <w:rsid w:val="00F51E7B"/>
    <w:rsid w:val="00F635FA"/>
    <w:rsid w:val="00F7266F"/>
    <w:rsid w:val="00F75040"/>
    <w:rsid w:val="00F83944"/>
    <w:rsid w:val="00F839A5"/>
    <w:rsid w:val="00F86055"/>
    <w:rsid w:val="00F900CE"/>
    <w:rsid w:val="00F963E8"/>
    <w:rsid w:val="00F9793E"/>
    <w:rsid w:val="00FA5FF3"/>
    <w:rsid w:val="00FA6861"/>
    <w:rsid w:val="00FB0335"/>
    <w:rsid w:val="00FE4553"/>
    <w:rsid w:val="00FF138F"/>
    <w:rsid w:val="00FF3049"/>
    <w:rsid w:val="00FF55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D3AA2D"/>
  <w15:chartTrackingRefBased/>
  <w15:docId w15:val="{49DA259F-5901-4EDC-A8B9-CEC829AAE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7EA2"/>
    <w:pPr>
      <w:spacing w:line="260" w:lineRule="atLeast"/>
      <w:jc w:val="both"/>
    </w:pPr>
    <w:rPr>
      <w:rFonts w:ascii="Palatino Linotype" w:hAnsi="Palatino Linotype"/>
      <w:noProof/>
      <w:color w:val="000000"/>
    </w:rPr>
  </w:style>
  <w:style w:type="paragraph" w:styleId="Heading1">
    <w:name w:val="heading 1"/>
    <w:basedOn w:val="Normal"/>
    <w:link w:val="Heading1Char"/>
    <w:uiPriority w:val="9"/>
    <w:qFormat/>
    <w:rsid w:val="00E51CF3"/>
    <w:pPr>
      <w:spacing w:before="100" w:beforeAutospacing="1" w:after="100" w:afterAutospacing="1" w:line="240" w:lineRule="auto"/>
      <w:jc w:val="left"/>
      <w:outlineLvl w:val="0"/>
    </w:pPr>
    <w:rPr>
      <w:rFonts w:ascii="Times New Roman" w:eastAsia="Times New Roman" w:hAnsi="Times New Roman"/>
      <w:b/>
      <w:bCs/>
      <w:noProof w:val="0"/>
      <w:color w:val="auto"/>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D2168E"/>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D2168E"/>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D2168E"/>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D2168E"/>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D2168E"/>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D2168E"/>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D2168E"/>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D2168E"/>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D77B5F"/>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937EA2"/>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37EA2"/>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937EA2"/>
    <w:rPr>
      <w:rFonts w:ascii="Palatino Linotype" w:hAnsi="Palatino Linotype"/>
      <w:noProof/>
      <w:color w:val="000000"/>
      <w:szCs w:val="18"/>
    </w:rPr>
  </w:style>
  <w:style w:type="paragraph" w:styleId="Header">
    <w:name w:val="header"/>
    <w:basedOn w:val="Normal"/>
    <w:link w:val="HeaderChar"/>
    <w:uiPriority w:val="99"/>
    <w:rsid w:val="00937EA2"/>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937EA2"/>
    <w:rPr>
      <w:rFonts w:ascii="Palatino Linotype" w:hAnsi="Palatino Linotype"/>
      <w:noProof/>
      <w:color w:val="000000"/>
      <w:szCs w:val="18"/>
    </w:rPr>
  </w:style>
  <w:style w:type="paragraph" w:customStyle="1" w:styleId="MDPIheaderjournallogo">
    <w:name w:val="MDPI_header_journal_logo"/>
    <w:qFormat/>
    <w:rsid w:val="00D2168E"/>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D2168E"/>
    <w:pPr>
      <w:ind w:firstLine="0"/>
    </w:pPr>
  </w:style>
  <w:style w:type="paragraph" w:customStyle="1" w:styleId="MDPI31text">
    <w:name w:val="MDPI_3.1_text"/>
    <w:qFormat/>
    <w:rsid w:val="00D2168E"/>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D2168E"/>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D2168E"/>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D2168E"/>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D2168E"/>
    <w:pPr>
      <w:numPr>
        <w:numId w:val="17"/>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D2168E"/>
    <w:pPr>
      <w:numPr>
        <w:numId w:val="18"/>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D2168E"/>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D2168E"/>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D2168E"/>
    <w:pPr>
      <w:adjustRightInd w:val="0"/>
      <w:snapToGrid w:val="0"/>
      <w:spacing w:before="240" w:after="120" w:line="228" w:lineRule="auto"/>
      <w:ind w:left="2608"/>
    </w:pPr>
    <w:rPr>
      <w:rFonts w:ascii="Palatino Linotype" w:eastAsia="Times New Roman" w:hAnsi="Palatino Linotype" w:cstheme="minorBidi"/>
      <w:color w:val="000000"/>
      <w:sz w:val="18"/>
      <w:szCs w:val="22"/>
      <w:lang w:eastAsia="de-DE" w:bidi="en-US"/>
    </w:rPr>
  </w:style>
  <w:style w:type="paragraph" w:customStyle="1" w:styleId="MDPI42tablebody">
    <w:name w:val="MDPI_4.2_table_body"/>
    <w:qFormat/>
    <w:rsid w:val="00D2168E"/>
    <w:pPr>
      <w:adjustRightInd w:val="0"/>
      <w:snapToGrid w:val="0"/>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D2168E"/>
    <w:pPr>
      <w:adjustRightInd w:val="0"/>
      <w:snapToGrid w:val="0"/>
      <w:spacing w:after="240"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D2168E"/>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D2168E"/>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23heading3">
    <w:name w:val="MDPI_2.3_heading3"/>
    <w:qFormat/>
    <w:rsid w:val="00D2168E"/>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D2168E"/>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D2168E"/>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D2168E"/>
    <w:pPr>
      <w:adjustRightInd w:val="0"/>
      <w:snapToGrid w:val="0"/>
      <w:spacing w:line="228" w:lineRule="auto"/>
      <w:ind w:left="425" w:hanging="425"/>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937EA2"/>
    <w:rPr>
      <w:rFonts w:cs="Tahoma"/>
      <w:szCs w:val="18"/>
    </w:rPr>
  </w:style>
  <w:style w:type="character" w:customStyle="1" w:styleId="BalloonTextChar">
    <w:name w:val="Balloon Text Char"/>
    <w:link w:val="BalloonText"/>
    <w:uiPriority w:val="99"/>
    <w:rsid w:val="00937EA2"/>
    <w:rPr>
      <w:rFonts w:ascii="Palatino Linotype" w:hAnsi="Palatino Linotype" w:cs="Tahoma"/>
      <w:noProof/>
      <w:color w:val="000000"/>
      <w:szCs w:val="18"/>
    </w:rPr>
  </w:style>
  <w:style w:type="character" w:styleId="LineNumber">
    <w:name w:val="line number"/>
    <w:uiPriority w:val="99"/>
    <w:rsid w:val="000779E3"/>
    <w:rPr>
      <w:rFonts w:ascii="Palatino Linotype" w:hAnsi="Palatino Linotype"/>
      <w:sz w:val="16"/>
    </w:rPr>
  </w:style>
  <w:style w:type="table" w:customStyle="1" w:styleId="MDPI41threelinetable">
    <w:name w:val="MDPI_4.1_three_line_table"/>
    <w:basedOn w:val="TableNormal"/>
    <w:uiPriority w:val="99"/>
    <w:rsid w:val="00D2168E"/>
    <w:pPr>
      <w:adjustRightInd w:val="0"/>
      <w:snapToGrid w:val="0"/>
      <w:jc w:val="center"/>
    </w:pPr>
    <w:rPr>
      <w:rFonts w:ascii="Palatino Linotype" w:eastAsiaTheme="minorEastAsia"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937EA2"/>
    <w:rPr>
      <w:color w:val="0000FF"/>
      <w:u w:val="single"/>
    </w:rPr>
  </w:style>
  <w:style w:type="character" w:styleId="UnresolvedMention">
    <w:name w:val="Unresolved Mention"/>
    <w:uiPriority w:val="99"/>
    <w:semiHidden/>
    <w:unhideWhenUsed/>
    <w:rsid w:val="007907E9"/>
    <w:rPr>
      <w:color w:val="605E5C"/>
      <w:shd w:val="clear" w:color="auto" w:fill="E1DFDD"/>
    </w:rPr>
  </w:style>
  <w:style w:type="table" w:styleId="PlainTable4">
    <w:name w:val="Plain Table 4"/>
    <w:basedOn w:val="TableNormal"/>
    <w:uiPriority w:val="44"/>
    <w:rsid w:val="0081267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34textspacebefore">
    <w:name w:val="MDPI_3.4_text_space_before"/>
    <w:qFormat/>
    <w:rsid w:val="00D2168E"/>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81theorem">
    <w:name w:val="MDPI_8.1_theorem"/>
    <w:qFormat/>
    <w:rsid w:val="00D2168E"/>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D2168E"/>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61Citation">
    <w:name w:val="MDPI_6.1_Citation"/>
    <w:qFormat/>
    <w:rsid w:val="00D2168E"/>
    <w:pPr>
      <w:adjustRightInd w:val="0"/>
      <w:snapToGrid w:val="0"/>
      <w:spacing w:line="240" w:lineRule="atLeast"/>
      <w:ind w:right="113"/>
    </w:pPr>
    <w:rPr>
      <w:rFonts w:ascii="Palatino Linotype" w:eastAsiaTheme="minorEastAsia" w:hAnsi="Palatino Linotype" w:cstheme="minorBidi"/>
      <w:sz w:val="14"/>
      <w:szCs w:val="22"/>
    </w:rPr>
  </w:style>
  <w:style w:type="paragraph" w:customStyle="1" w:styleId="MDPI62BackMatter">
    <w:name w:val="MDPI_6.2_BackMatter"/>
    <w:qFormat/>
    <w:rsid w:val="00D2168E"/>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D2168E"/>
    <w:pPr>
      <w:adjustRightInd w:val="0"/>
      <w:snapToGrid w:val="0"/>
      <w:spacing w:after="120" w:line="240" w:lineRule="atLeast"/>
      <w:ind w:right="113"/>
    </w:pPr>
    <w:rPr>
      <w:rFonts w:ascii="Palatino Linotype" w:hAnsi="Palatino Linotype"/>
      <w:snapToGrid w:val="0"/>
      <w:color w:val="000000" w:themeColor="text1"/>
      <w:sz w:val="14"/>
      <w:lang w:eastAsia="en-US" w:bidi="en-US"/>
    </w:rPr>
  </w:style>
  <w:style w:type="paragraph" w:customStyle="1" w:styleId="MDPI15academiceditor">
    <w:name w:val="MDPI_1.5_academic_editor"/>
    <w:qFormat/>
    <w:rsid w:val="00D2168E"/>
    <w:pPr>
      <w:adjustRightInd w:val="0"/>
      <w:snapToGrid w:val="0"/>
      <w:spacing w:before="24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D2168E"/>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D2168E"/>
    <w:pPr>
      <w:adjustRightInd w:val="0"/>
      <w:snapToGrid w:val="0"/>
      <w:spacing w:before="240" w:after="120" w:line="260" w:lineRule="atLeast"/>
      <w:jc w:val="center"/>
    </w:pPr>
    <w:rPr>
      <w:rFonts w:ascii="Palatino Linotype" w:eastAsiaTheme="minorEastAsia" w:hAnsi="Palatino Linotype" w:cstheme="minorBidi"/>
      <w:noProof/>
      <w:color w:val="000000"/>
      <w:sz w:val="18"/>
      <w:szCs w:val="22"/>
      <w:lang w:bidi="en-US"/>
    </w:rPr>
  </w:style>
  <w:style w:type="paragraph" w:customStyle="1" w:styleId="MDPI511onefigurecaption">
    <w:name w:val="MDPI_5.1.1_one_figure_caption"/>
    <w:qFormat/>
    <w:rsid w:val="00D2168E"/>
    <w:pPr>
      <w:adjustRightInd w:val="0"/>
      <w:snapToGrid w:val="0"/>
      <w:spacing w:before="240" w:after="120" w:line="260" w:lineRule="atLeast"/>
      <w:jc w:val="center"/>
    </w:pPr>
    <w:rPr>
      <w:rFonts w:ascii="Palatino Linotype" w:eastAsiaTheme="minorEastAsia" w:hAnsi="Palatino Linotype"/>
      <w:noProof/>
      <w:color w:val="000000"/>
      <w:sz w:val="18"/>
      <w:lang w:bidi="en-US"/>
    </w:rPr>
  </w:style>
  <w:style w:type="paragraph" w:customStyle="1" w:styleId="MDPI72Copyright">
    <w:name w:val="MDPI_7.2_Copyright"/>
    <w:qFormat/>
    <w:rsid w:val="00D2168E"/>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D2168E"/>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D2168E"/>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D2168E"/>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footerfirstpage">
    <w:name w:val="MDPI_footer_firstpage"/>
    <w:qFormat/>
    <w:rsid w:val="00D2168E"/>
    <w:pPr>
      <w:tabs>
        <w:tab w:val="right" w:pos="8845"/>
      </w:tabs>
      <w:spacing w:line="160" w:lineRule="exact"/>
    </w:pPr>
    <w:rPr>
      <w:rFonts w:ascii="Palatino Linotype" w:eastAsia="Times New Roman" w:hAnsi="Palatino Linotype"/>
      <w:color w:val="000000"/>
      <w:sz w:val="16"/>
      <w:lang w:eastAsia="de-DE"/>
    </w:rPr>
  </w:style>
  <w:style w:type="paragraph" w:customStyle="1" w:styleId="MDPIheader">
    <w:name w:val="MDPI_header"/>
    <w:qFormat/>
    <w:rsid w:val="00D2168E"/>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D2168E"/>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D2168E"/>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D2168E"/>
    <w:rPr>
      <w:rFonts w:ascii="Palatino Linotype" w:hAnsi="Palatino Linotype"/>
      <w:color w:val="000000" w:themeColor="text1"/>
      <w:lang w:val="en-CA" w:eastAsia="en-US"/>
    </w:rPr>
    <w:tblPr>
      <w:tblCellMar>
        <w:left w:w="0" w:type="dxa"/>
        <w:right w:w="0" w:type="dxa"/>
      </w:tblCellMar>
    </w:tblPr>
  </w:style>
  <w:style w:type="paragraph" w:customStyle="1" w:styleId="MDPItext">
    <w:name w:val="MDPI_text"/>
    <w:qFormat/>
    <w:rsid w:val="00D2168E"/>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D2168E"/>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937EA2"/>
  </w:style>
  <w:style w:type="paragraph" w:styleId="Bibliography">
    <w:name w:val="Bibliography"/>
    <w:basedOn w:val="Normal"/>
    <w:next w:val="Normal"/>
    <w:uiPriority w:val="37"/>
    <w:semiHidden/>
    <w:unhideWhenUsed/>
    <w:rsid w:val="00937EA2"/>
  </w:style>
  <w:style w:type="paragraph" w:styleId="BodyText">
    <w:name w:val="Body Text"/>
    <w:link w:val="BodyTextChar"/>
    <w:rsid w:val="00937EA2"/>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937EA2"/>
    <w:rPr>
      <w:rFonts w:ascii="Palatino Linotype" w:hAnsi="Palatino Linotype"/>
      <w:color w:val="000000"/>
      <w:sz w:val="24"/>
      <w:lang w:eastAsia="de-DE"/>
    </w:rPr>
  </w:style>
  <w:style w:type="character" w:styleId="CommentReference">
    <w:name w:val="annotation reference"/>
    <w:rsid w:val="00937EA2"/>
    <w:rPr>
      <w:sz w:val="21"/>
      <w:szCs w:val="21"/>
    </w:rPr>
  </w:style>
  <w:style w:type="paragraph" w:styleId="CommentText">
    <w:name w:val="annotation text"/>
    <w:basedOn w:val="Normal"/>
    <w:link w:val="CommentTextChar"/>
    <w:rsid w:val="00937EA2"/>
  </w:style>
  <w:style w:type="character" w:customStyle="1" w:styleId="CommentTextChar">
    <w:name w:val="Comment Text Char"/>
    <w:link w:val="CommentText"/>
    <w:rsid w:val="00937EA2"/>
    <w:rPr>
      <w:rFonts w:ascii="Palatino Linotype" w:hAnsi="Palatino Linotype"/>
      <w:noProof/>
      <w:color w:val="000000"/>
    </w:rPr>
  </w:style>
  <w:style w:type="paragraph" w:styleId="CommentSubject">
    <w:name w:val="annotation subject"/>
    <w:basedOn w:val="CommentText"/>
    <w:next w:val="CommentText"/>
    <w:link w:val="CommentSubjectChar"/>
    <w:rsid w:val="00937EA2"/>
    <w:rPr>
      <w:b/>
      <w:bCs/>
    </w:rPr>
  </w:style>
  <w:style w:type="character" w:customStyle="1" w:styleId="CommentSubjectChar">
    <w:name w:val="Comment Subject Char"/>
    <w:link w:val="CommentSubject"/>
    <w:rsid w:val="00937EA2"/>
    <w:rPr>
      <w:rFonts w:ascii="Palatino Linotype" w:hAnsi="Palatino Linotype"/>
      <w:b/>
      <w:bCs/>
      <w:noProof/>
      <w:color w:val="000000"/>
    </w:rPr>
  </w:style>
  <w:style w:type="character" w:styleId="EndnoteReference">
    <w:name w:val="endnote reference"/>
    <w:rsid w:val="00937EA2"/>
    <w:rPr>
      <w:vertAlign w:val="superscript"/>
    </w:rPr>
  </w:style>
  <w:style w:type="paragraph" w:styleId="EndnoteText">
    <w:name w:val="endnote text"/>
    <w:basedOn w:val="Normal"/>
    <w:link w:val="EndnoteTextChar"/>
    <w:semiHidden/>
    <w:unhideWhenUsed/>
    <w:rsid w:val="00937EA2"/>
    <w:pPr>
      <w:spacing w:line="240" w:lineRule="auto"/>
    </w:pPr>
  </w:style>
  <w:style w:type="character" w:customStyle="1" w:styleId="EndnoteTextChar">
    <w:name w:val="Endnote Text Char"/>
    <w:link w:val="EndnoteText"/>
    <w:semiHidden/>
    <w:rsid w:val="00937EA2"/>
    <w:rPr>
      <w:rFonts w:ascii="Palatino Linotype" w:hAnsi="Palatino Linotype"/>
      <w:noProof/>
      <w:color w:val="000000"/>
    </w:rPr>
  </w:style>
  <w:style w:type="character" w:styleId="FollowedHyperlink">
    <w:name w:val="FollowedHyperlink"/>
    <w:rsid w:val="00937EA2"/>
    <w:rPr>
      <w:color w:val="954F72"/>
      <w:u w:val="single"/>
    </w:rPr>
  </w:style>
  <w:style w:type="paragraph" w:styleId="FootnoteText">
    <w:name w:val="footnote text"/>
    <w:basedOn w:val="Normal"/>
    <w:link w:val="FootnoteTextChar"/>
    <w:semiHidden/>
    <w:unhideWhenUsed/>
    <w:rsid w:val="00937EA2"/>
    <w:pPr>
      <w:spacing w:line="240" w:lineRule="auto"/>
    </w:pPr>
  </w:style>
  <w:style w:type="character" w:customStyle="1" w:styleId="FootnoteTextChar">
    <w:name w:val="Footnote Text Char"/>
    <w:link w:val="FootnoteText"/>
    <w:semiHidden/>
    <w:rsid w:val="00937EA2"/>
    <w:rPr>
      <w:rFonts w:ascii="Palatino Linotype" w:hAnsi="Palatino Linotype"/>
      <w:noProof/>
      <w:color w:val="000000"/>
    </w:rPr>
  </w:style>
  <w:style w:type="paragraph" w:styleId="NormalWeb">
    <w:name w:val="Normal (Web)"/>
    <w:basedOn w:val="Normal"/>
    <w:uiPriority w:val="99"/>
    <w:rsid w:val="00937EA2"/>
    <w:rPr>
      <w:szCs w:val="24"/>
    </w:rPr>
  </w:style>
  <w:style w:type="paragraph" w:customStyle="1" w:styleId="MsoFootnoteText0">
    <w:name w:val="MsoFootnoteText"/>
    <w:basedOn w:val="NormalWeb"/>
    <w:qFormat/>
    <w:rsid w:val="00937EA2"/>
    <w:rPr>
      <w:rFonts w:ascii="Times New Roman" w:hAnsi="Times New Roman"/>
    </w:rPr>
  </w:style>
  <w:style w:type="character" w:styleId="PageNumber">
    <w:name w:val="page number"/>
    <w:rsid w:val="00937EA2"/>
  </w:style>
  <w:style w:type="character" w:styleId="PlaceholderText">
    <w:name w:val="Placeholder Text"/>
    <w:uiPriority w:val="99"/>
    <w:semiHidden/>
    <w:rsid w:val="00937EA2"/>
    <w:rPr>
      <w:color w:val="808080"/>
    </w:rPr>
  </w:style>
  <w:style w:type="paragraph" w:customStyle="1" w:styleId="MDPI71FootNotes">
    <w:name w:val="MDPI_7.1_FootNotes"/>
    <w:qFormat/>
    <w:rsid w:val="005C147B"/>
    <w:pPr>
      <w:numPr>
        <w:numId w:val="16"/>
      </w:numPr>
      <w:adjustRightInd w:val="0"/>
      <w:snapToGrid w:val="0"/>
      <w:spacing w:line="228" w:lineRule="auto"/>
      <w:jc w:val="both"/>
    </w:pPr>
    <w:rPr>
      <w:rFonts w:ascii="Palatino Linotype" w:eastAsiaTheme="minorEastAsia" w:hAnsi="Palatino Linotype"/>
      <w:noProof/>
      <w:color w:val="000000"/>
      <w:sz w:val="18"/>
    </w:rPr>
  </w:style>
  <w:style w:type="table" w:customStyle="1" w:styleId="TableGrid1">
    <w:name w:val="Table Grid1"/>
    <w:basedOn w:val="TableNormal"/>
    <w:next w:val="TableGrid"/>
    <w:uiPriority w:val="59"/>
    <w:rsid w:val="00343B0B"/>
    <w:rPr>
      <w:rFonts w:asciiTheme="minorHAnsi" w:eastAsiaTheme="minorHAnsi" w:hAnsiTheme="minorHAnsi" w:cstheme="minorBidi"/>
      <w:sz w:val="22"/>
      <w:szCs w:val="22"/>
      <w:lang w:val="en-GB"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PI61Supplementary">
    <w:name w:val="MDPI_6.1_Supplementary"/>
    <w:basedOn w:val="Normal"/>
    <w:qFormat/>
    <w:rsid w:val="00D2168E"/>
    <w:pPr>
      <w:adjustRightInd w:val="0"/>
      <w:snapToGrid w:val="0"/>
      <w:spacing w:before="240" w:line="200" w:lineRule="atLeast"/>
    </w:pPr>
    <w:rPr>
      <w:rFonts w:eastAsia="Times New Roman"/>
      <w:noProof w:val="0"/>
      <w:snapToGrid w:val="0"/>
      <w:sz w:val="18"/>
      <w:lang w:eastAsia="en-US" w:bidi="en-US"/>
    </w:rPr>
  </w:style>
  <w:style w:type="paragraph" w:customStyle="1" w:styleId="MDPI62Acknowledgments">
    <w:name w:val="MDPI_6.2_Acknowledgments"/>
    <w:qFormat/>
    <w:rsid w:val="00D2168E"/>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63AuthorContributions">
    <w:name w:val="MDPI_6.3_AuthorContributions"/>
    <w:basedOn w:val="MDPI62Acknowledgments"/>
    <w:qFormat/>
    <w:rsid w:val="00D2168E"/>
    <w:rPr>
      <w:rFonts w:eastAsia="SimSun"/>
      <w:color w:val="auto"/>
      <w:lang w:eastAsia="en-US"/>
    </w:rPr>
  </w:style>
  <w:style w:type="paragraph" w:customStyle="1" w:styleId="MDPI64CoI">
    <w:name w:val="MDPI_6.4_CoI"/>
    <w:basedOn w:val="MDPI62Acknowledgments"/>
    <w:qFormat/>
    <w:rsid w:val="00D2168E"/>
  </w:style>
  <w:style w:type="paragraph" w:customStyle="1" w:styleId="MDPI74PublishersNote">
    <w:name w:val="MDPI_7.4_Publisher'sNote"/>
    <w:qFormat/>
    <w:rsid w:val="00D2168E"/>
    <w:pPr>
      <w:adjustRightInd w:val="0"/>
      <w:snapToGrid w:val="0"/>
      <w:spacing w:before="240" w:after="240" w:line="200" w:lineRule="atLeast"/>
    </w:pPr>
    <w:rPr>
      <w:rFonts w:ascii="Palatino Linotype" w:hAnsi="Palatino Linotype"/>
      <w:sz w:val="18"/>
      <w:szCs w:val="22"/>
    </w:rPr>
  </w:style>
  <w:style w:type="character" w:customStyle="1" w:styleId="Heading1Char">
    <w:name w:val="Heading 1 Char"/>
    <w:basedOn w:val="DefaultParagraphFont"/>
    <w:link w:val="Heading1"/>
    <w:uiPriority w:val="9"/>
    <w:rsid w:val="00E51CF3"/>
    <w:rPr>
      <w:rFonts w:ascii="Times New Roman" w:eastAsia="Times New Roman" w:hAnsi="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401316">
      <w:bodyDiv w:val="1"/>
      <w:marLeft w:val="0"/>
      <w:marRight w:val="0"/>
      <w:marTop w:val="0"/>
      <w:marBottom w:val="0"/>
      <w:divBdr>
        <w:top w:val="none" w:sz="0" w:space="0" w:color="auto"/>
        <w:left w:val="none" w:sz="0" w:space="0" w:color="auto"/>
        <w:bottom w:val="none" w:sz="0" w:space="0" w:color="auto"/>
        <w:right w:val="none" w:sz="0" w:space="0" w:color="auto"/>
      </w:divBdr>
    </w:div>
    <w:div w:id="557714822">
      <w:bodyDiv w:val="1"/>
      <w:marLeft w:val="0"/>
      <w:marRight w:val="0"/>
      <w:marTop w:val="0"/>
      <w:marBottom w:val="0"/>
      <w:divBdr>
        <w:top w:val="none" w:sz="0" w:space="0" w:color="auto"/>
        <w:left w:val="none" w:sz="0" w:space="0" w:color="auto"/>
        <w:bottom w:val="none" w:sz="0" w:space="0" w:color="auto"/>
        <w:right w:val="none" w:sz="0" w:space="0" w:color="auto"/>
      </w:divBdr>
    </w:div>
    <w:div w:id="804128013">
      <w:bodyDiv w:val="1"/>
      <w:marLeft w:val="0"/>
      <w:marRight w:val="0"/>
      <w:marTop w:val="0"/>
      <w:marBottom w:val="0"/>
      <w:divBdr>
        <w:top w:val="none" w:sz="0" w:space="0" w:color="auto"/>
        <w:left w:val="none" w:sz="0" w:space="0" w:color="auto"/>
        <w:bottom w:val="none" w:sz="0" w:space="0" w:color="auto"/>
        <w:right w:val="none" w:sz="0" w:space="0" w:color="auto"/>
      </w:divBdr>
    </w:div>
    <w:div w:id="879899526">
      <w:bodyDiv w:val="1"/>
      <w:marLeft w:val="0"/>
      <w:marRight w:val="0"/>
      <w:marTop w:val="0"/>
      <w:marBottom w:val="0"/>
      <w:divBdr>
        <w:top w:val="none" w:sz="0" w:space="0" w:color="auto"/>
        <w:left w:val="none" w:sz="0" w:space="0" w:color="auto"/>
        <w:bottom w:val="none" w:sz="0" w:space="0" w:color="auto"/>
        <w:right w:val="none" w:sz="0" w:space="0" w:color="auto"/>
      </w:divBdr>
    </w:div>
    <w:div w:id="948900739">
      <w:bodyDiv w:val="1"/>
      <w:marLeft w:val="0"/>
      <w:marRight w:val="0"/>
      <w:marTop w:val="0"/>
      <w:marBottom w:val="0"/>
      <w:divBdr>
        <w:top w:val="none" w:sz="0" w:space="0" w:color="auto"/>
        <w:left w:val="none" w:sz="0" w:space="0" w:color="auto"/>
        <w:bottom w:val="none" w:sz="0" w:space="0" w:color="auto"/>
        <w:right w:val="none" w:sz="0" w:space="0" w:color="auto"/>
      </w:divBdr>
    </w:div>
    <w:div w:id="997609002">
      <w:bodyDiv w:val="1"/>
      <w:marLeft w:val="0"/>
      <w:marRight w:val="0"/>
      <w:marTop w:val="0"/>
      <w:marBottom w:val="0"/>
      <w:divBdr>
        <w:top w:val="none" w:sz="0" w:space="0" w:color="auto"/>
        <w:left w:val="none" w:sz="0" w:space="0" w:color="auto"/>
        <w:bottom w:val="none" w:sz="0" w:space="0" w:color="auto"/>
        <w:right w:val="none" w:sz="0" w:space="0" w:color="auto"/>
      </w:divBdr>
    </w:div>
    <w:div w:id="1025912066">
      <w:bodyDiv w:val="1"/>
      <w:marLeft w:val="0"/>
      <w:marRight w:val="0"/>
      <w:marTop w:val="0"/>
      <w:marBottom w:val="0"/>
      <w:divBdr>
        <w:top w:val="none" w:sz="0" w:space="0" w:color="auto"/>
        <w:left w:val="none" w:sz="0" w:space="0" w:color="auto"/>
        <w:bottom w:val="none" w:sz="0" w:space="0" w:color="auto"/>
        <w:right w:val="none" w:sz="0" w:space="0" w:color="auto"/>
      </w:divBdr>
    </w:div>
    <w:div w:id="1045369154">
      <w:bodyDiv w:val="1"/>
      <w:marLeft w:val="0"/>
      <w:marRight w:val="0"/>
      <w:marTop w:val="0"/>
      <w:marBottom w:val="0"/>
      <w:divBdr>
        <w:top w:val="none" w:sz="0" w:space="0" w:color="auto"/>
        <w:left w:val="none" w:sz="0" w:space="0" w:color="auto"/>
        <w:bottom w:val="none" w:sz="0" w:space="0" w:color="auto"/>
        <w:right w:val="none" w:sz="0" w:space="0" w:color="auto"/>
      </w:divBdr>
    </w:div>
    <w:div w:id="1132400802">
      <w:bodyDiv w:val="1"/>
      <w:marLeft w:val="0"/>
      <w:marRight w:val="0"/>
      <w:marTop w:val="0"/>
      <w:marBottom w:val="0"/>
      <w:divBdr>
        <w:top w:val="none" w:sz="0" w:space="0" w:color="auto"/>
        <w:left w:val="none" w:sz="0" w:space="0" w:color="auto"/>
        <w:bottom w:val="none" w:sz="0" w:space="0" w:color="auto"/>
        <w:right w:val="none" w:sz="0" w:space="0" w:color="auto"/>
      </w:divBdr>
    </w:div>
    <w:div w:id="1274896448">
      <w:bodyDiv w:val="1"/>
      <w:marLeft w:val="0"/>
      <w:marRight w:val="0"/>
      <w:marTop w:val="0"/>
      <w:marBottom w:val="0"/>
      <w:divBdr>
        <w:top w:val="none" w:sz="0" w:space="0" w:color="auto"/>
        <w:left w:val="none" w:sz="0" w:space="0" w:color="auto"/>
        <w:bottom w:val="none" w:sz="0" w:space="0" w:color="auto"/>
        <w:right w:val="none" w:sz="0" w:space="0" w:color="auto"/>
      </w:divBdr>
    </w:div>
    <w:div w:id="1312178443">
      <w:bodyDiv w:val="1"/>
      <w:marLeft w:val="0"/>
      <w:marRight w:val="0"/>
      <w:marTop w:val="0"/>
      <w:marBottom w:val="0"/>
      <w:divBdr>
        <w:top w:val="none" w:sz="0" w:space="0" w:color="auto"/>
        <w:left w:val="none" w:sz="0" w:space="0" w:color="auto"/>
        <w:bottom w:val="none" w:sz="0" w:space="0" w:color="auto"/>
        <w:right w:val="none" w:sz="0" w:space="0" w:color="auto"/>
      </w:divBdr>
    </w:div>
    <w:div w:id="1586845258">
      <w:bodyDiv w:val="1"/>
      <w:marLeft w:val="0"/>
      <w:marRight w:val="0"/>
      <w:marTop w:val="0"/>
      <w:marBottom w:val="0"/>
      <w:divBdr>
        <w:top w:val="none" w:sz="0" w:space="0" w:color="auto"/>
        <w:left w:val="none" w:sz="0" w:space="0" w:color="auto"/>
        <w:bottom w:val="none" w:sz="0" w:space="0" w:color="auto"/>
        <w:right w:val="none" w:sz="0" w:space="0" w:color="auto"/>
      </w:divBdr>
    </w:div>
    <w:div w:id="1925719236">
      <w:bodyDiv w:val="1"/>
      <w:marLeft w:val="0"/>
      <w:marRight w:val="0"/>
      <w:marTop w:val="0"/>
      <w:marBottom w:val="0"/>
      <w:divBdr>
        <w:top w:val="none" w:sz="0" w:space="0" w:color="auto"/>
        <w:left w:val="none" w:sz="0" w:space="0" w:color="auto"/>
        <w:bottom w:val="none" w:sz="0" w:space="0" w:color="auto"/>
        <w:right w:val="none" w:sz="0" w:space="0" w:color="auto"/>
      </w:divBdr>
    </w:div>
    <w:div w:id="2107604591">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iterik2@coventry.ac.u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kathleen.england@gov.mt"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l%20Spiteri\Downloads\jal-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E0F60-1F2C-4F02-B58A-AA69DF3F8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jal-template</Template>
  <TotalTime>9</TotalTime>
  <Pages>14</Pages>
  <Words>27505</Words>
  <Characters>156781</Characters>
  <Application>Microsoft Office Word</Application>
  <DocSecurity>0</DocSecurity>
  <Lines>1306</Lines>
  <Paragraphs>367</Paragraphs>
  <ScaleCrop>false</ScaleCrop>
  <HeadingPairs>
    <vt:vector size="2" baseType="variant">
      <vt:variant>
        <vt:lpstr>Title</vt:lpstr>
      </vt:variant>
      <vt:variant>
        <vt:i4>1</vt:i4>
      </vt:variant>
    </vt:vector>
  </HeadingPairs>
  <TitlesOfParts>
    <vt:vector size="1" baseType="lpstr">
      <vt:lpstr>R</vt:lpstr>
    </vt:vector>
  </TitlesOfParts>
  <Company/>
  <LinksUpToDate>false</LinksUpToDate>
  <CharactersWithSpaces>183919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dc:title>
  <dc:subject/>
  <dc:creator>MDPI</dc:creator>
  <cp:keywords/>
  <dc:description/>
  <cp:lastModifiedBy>Smith, Lee</cp:lastModifiedBy>
  <cp:revision>2</cp:revision>
  <cp:lastPrinted>2021-07-26T20:14:00Z</cp:lastPrinted>
  <dcterms:created xsi:type="dcterms:W3CDTF">2021-08-10T11:03:00Z</dcterms:created>
  <dcterms:modified xsi:type="dcterms:W3CDTF">2021-08-10T11:03:00Z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9148a5bc-8a1c-3116-9044-df106f766e58</vt:lpwstr>
  </property>
  <property fmtid="{D5CDD505-2E9C-101B-9397-08002B2CF9AE}" pid="4" name="Mendeley Citation Style_1">
    <vt:lpwstr>http://www.zotero.org/styles/age-and-ageing</vt:lpwstr>
  </property>
  <property fmtid="{D5CDD505-2E9C-101B-9397-08002B2CF9AE}" pid="5" name="Mendeley Recent Style Id 0_1">
    <vt:lpwstr>http://www.zotero.org/styles/age-and-ageing</vt:lpwstr>
  </property>
  <property fmtid="{D5CDD505-2E9C-101B-9397-08002B2CF9AE}" pid="6" name="Mendeley Recent Style Name 0_1">
    <vt:lpwstr>Age and Ageing</vt:lpwstr>
  </property>
  <property fmtid="{D5CDD505-2E9C-101B-9397-08002B2CF9AE}" pid="7" name="Mendeley Recent Style Id 1_1">
    <vt:lpwstr>http://www.zotero.org/styles/american-medical-association</vt:lpwstr>
  </property>
  <property fmtid="{D5CDD505-2E9C-101B-9397-08002B2CF9AE}" pid="8" name="Mendeley Recent Style Name 1_1">
    <vt:lpwstr>American Medical Association 11th edition</vt:lpwstr>
  </property>
  <property fmtid="{D5CDD505-2E9C-101B-9397-08002B2CF9AE}" pid="9" name="Mendeley Recent Style Id 2_1">
    <vt:lpwstr>http://www.zotero.org/styles/american-political-science-association</vt:lpwstr>
  </property>
  <property fmtid="{D5CDD505-2E9C-101B-9397-08002B2CF9AE}" pid="10" name="Mendeley Recent Style Name 2_1">
    <vt:lpwstr>American Political Science Association</vt:lpwstr>
  </property>
  <property fmtid="{D5CDD505-2E9C-101B-9397-08002B2CF9AE}" pid="11" name="Mendeley Recent Style Id 3_1">
    <vt:lpwstr>http://www.zotero.org/styles/apa</vt:lpwstr>
  </property>
  <property fmtid="{D5CDD505-2E9C-101B-9397-08002B2CF9AE}" pid="12" name="Mendeley Recent Style Name 3_1">
    <vt:lpwstr>American Psychological Association 7th edition</vt:lpwstr>
  </property>
  <property fmtid="{D5CDD505-2E9C-101B-9397-08002B2CF9AE}" pid="13" name="Mendeley Recent Style Id 4_1">
    <vt:lpwstr>http://www.zotero.org/styles/american-sociological-association</vt:lpwstr>
  </property>
  <property fmtid="{D5CDD505-2E9C-101B-9397-08002B2CF9AE}" pid="14" name="Mendeley Recent Style Name 4_1">
    <vt:lpwstr>American Sociological Association 6th edition</vt:lpwstr>
  </property>
  <property fmtid="{D5CDD505-2E9C-101B-9397-08002B2CF9AE}" pid="15" name="Mendeley Recent Style Id 5_1">
    <vt:lpwstr>http://www.zotero.org/styles/chicago-author-date</vt:lpwstr>
  </property>
  <property fmtid="{D5CDD505-2E9C-101B-9397-08002B2CF9AE}" pid="16" name="Mendeley Recent Style Name 5_1">
    <vt:lpwstr>Chicago Manual of Style 17th edition (author-date)</vt:lpwstr>
  </property>
  <property fmtid="{D5CDD505-2E9C-101B-9397-08002B2CF9AE}" pid="17" name="Mendeley Recent Style Id 6_1">
    <vt:lpwstr>http://www.zotero.org/styles/harvard-cite-them-right</vt:lpwstr>
  </property>
  <property fmtid="{D5CDD505-2E9C-101B-9397-08002B2CF9AE}" pid="18" name="Mendeley Recent Style Name 6_1">
    <vt:lpwstr>Cite Them Right 10th edition - Harvard</vt:lpwstr>
  </property>
  <property fmtid="{D5CDD505-2E9C-101B-9397-08002B2CF9AE}" pid="19" name="Mendeley Recent Style Id 7_1">
    <vt:lpwstr>http://www.zotero.org/styles/ieee</vt:lpwstr>
  </property>
  <property fmtid="{D5CDD505-2E9C-101B-9397-08002B2CF9AE}" pid="20" name="Mendeley Recent Style Name 7_1">
    <vt:lpwstr>IEEE</vt:lpwstr>
  </property>
  <property fmtid="{D5CDD505-2E9C-101B-9397-08002B2CF9AE}" pid="21" name="Mendeley Recent Style Id 8_1">
    <vt:lpwstr>http://www.zotero.org/styles/modern-humanities-research-association</vt:lpwstr>
  </property>
  <property fmtid="{D5CDD505-2E9C-101B-9397-08002B2CF9AE}" pid="22" name="Mendeley Recent Style Name 8_1">
    <vt:lpwstr>Modern Humanities Research Association 3rd edition (note with bibliography)</vt:lpwstr>
  </property>
  <property fmtid="{D5CDD505-2E9C-101B-9397-08002B2CF9AE}" pid="23" name="Mendeley Recent Style Id 9_1">
    <vt:lpwstr>http://www.zotero.org/styles/preventive-medicine</vt:lpwstr>
  </property>
  <property fmtid="{D5CDD505-2E9C-101B-9397-08002B2CF9AE}" pid="24" name="Mendeley Recent Style Name 9_1">
    <vt:lpwstr>Preventive Medicine</vt:lpwstr>
  </property>
</Properties>
</file>